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2"/>
          <w:szCs w:val="22"/>
          <w:lang w:eastAsia="zh-CN"/>
        </w:rPr>
        <w:t>3GPP TSG RAN WG1 #100</w:t>
      </w:r>
      <w:r>
        <w:rPr>
          <w:rFonts w:hint="eastAsia" w:cs="Arial"/>
          <w:bCs/>
          <w:sz w:val="22"/>
          <w:szCs w:val="22"/>
          <w:lang w:val="en-US" w:eastAsia="zh-CN"/>
        </w:rPr>
        <w:t xml:space="preserve">bis                                                                                 </w:t>
      </w:r>
      <w:r>
        <w:rPr>
          <w:rFonts w:hint="eastAsia" w:cs="Arial"/>
          <w:bCs/>
          <w:sz w:val="22"/>
          <w:szCs w:val="22"/>
          <w:lang w:eastAsia="zh-CN"/>
        </w:rPr>
        <w:t>R1-2001633</w:t>
      </w:r>
    </w:p>
    <w:p>
      <w:pPr>
        <w:pStyle w:val="25"/>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1" w:afterLines="100" w:line="240" w:lineRule="auto"/>
        <w:ind w:right="-57"/>
        <w:textAlignment w:val="baseline"/>
        <w:outlineLvl w:val="9"/>
        <w:rPr>
          <w:rFonts w:hint="eastAsia" w:cs="Arial"/>
          <w:bCs/>
          <w:sz w:val="22"/>
          <w:szCs w:val="22"/>
          <w:lang w:eastAsia="ja-JP"/>
        </w:rPr>
      </w:pPr>
      <w:r>
        <w:rPr>
          <w:rFonts w:cs="Arial"/>
          <w:bCs/>
          <w:sz w:val="22"/>
          <w:szCs w:val="22"/>
          <w:lang w:eastAsia="ja-JP"/>
        </w:rPr>
        <w:t xml:space="preserve">e-Meeting, </w:t>
      </w:r>
      <w:r>
        <w:rPr>
          <w:rFonts w:hint="eastAsia" w:eastAsia="宋体" w:cs="Arial"/>
          <w:bCs/>
          <w:strike w:val="0"/>
          <w:dstrike w:val="0"/>
          <w:sz w:val="22"/>
          <w:szCs w:val="22"/>
          <w:lang w:val="en-US" w:eastAsia="zh-CN"/>
        </w:rPr>
        <w:t xml:space="preserve">April </w:t>
      </w:r>
      <w:r>
        <w:rPr>
          <w:rFonts w:cs="Arial"/>
          <w:bCs/>
          <w:strike w:val="0"/>
          <w:dstrike w:val="0"/>
          <w:sz w:val="22"/>
          <w:szCs w:val="22"/>
          <w:lang w:eastAsia="ja-JP"/>
        </w:rPr>
        <w:t>2</w:t>
      </w:r>
      <w:r>
        <w:rPr>
          <w:rFonts w:hint="eastAsia" w:eastAsia="宋体" w:cs="Arial"/>
          <w:bCs/>
          <w:strike w:val="0"/>
          <w:dstrike w:val="0"/>
          <w:sz w:val="22"/>
          <w:szCs w:val="22"/>
          <w:lang w:val="en-US" w:eastAsia="zh-CN"/>
        </w:rPr>
        <w:t>0</w:t>
      </w:r>
      <w:r>
        <w:rPr>
          <w:rFonts w:cs="Arial"/>
          <w:bCs/>
          <w:strike w:val="0"/>
          <w:dstrike w:val="0"/>
          <w:sz w:val="22"/>
          <w:szCs w:val="22"/>
          <w:vertAlign w:val="superscript"/>
          <w:lang w:eastAsia="ja-JP"/>
        </w:rPr>
        <w:t>th</w:t>
      </w:r>
      <w:r>
        <w:rPr>
          <w:rFonts w:cs="Arial"/>
          <w:bCs/>
          <w:strike w:val="0"/>
          <w:dstrike w:val="0"/>
          <w:sz w:val="22"/>
          <w:szCs w:val="22"/>
          <w:lang w:eastAsia="ja-JP"/>
        </w:rPr>
        <w:t xml:space="preserve"> – </w:t>
      </w:r>
      <w:r>
        <w:rPr>
          <w:rFonts w:hint="eastAsia" w:eastAsia="宋体" w:cs="Arial"/>
          <w:bCs/>
          <w:strike w:val="0"/>
          <w:dstrike w:val="0"/>
          <w:sz w:val="22"/>
          <w:szCs w:val="22"/>
          <w:lang w:val="en-US" w:eastAsia="zh-CN"/>
        </w:rPr>
        <w:t>24</w:t>
      </w:r>
      <w:r>
        <w:rPr>
          <w:rFonts w:cs="Arial"/>
          <w:bCs/>
          <w:strike w:val="0"/>
          <w:dstrike w:val="0"/>
          <w:sz w:val="22"/>
          <w:szCs w:val="22"/>
          <w:vertAlign w:val="superscript"/>
          <w:lang w:eastAsia="ja-JP"/>
        </w:rPr>
        <w:t>th</w:t>
      </w:r>
      <w:r>
        <w:rPr>
          <w:rFonts w:cs="Arial"/>
          <w:bCs/>
          <w:strike w:val="0"/>
          <w:dstrike w:val="0"/>
          <w:sz w:val="22"/>
          <w:szCs w:val="22"/>
          <w:lang w:eastAsia="ja-JP"/>
        </w:rPr>
        <w:t>, 2020</w:t>
      </w:r>
    </w:p>
    <w:p>
      <w:pPr>
        <w:pStyle w:val="25"/>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5"/>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UE feature </w:t>
      </w:r>
      <w:r>
        <w:rPr>
          <w:rFonts w:hint="eastAsia" w:eastAsiaTheme="minorEastAsia"/>
          <w:sz w:val="20"/>
          <w:lang w:val="en-US" w:eastAsia="zh-CN"/>
        </w:rPr>
        <w:t xml:space="preserve">for </w:t>
      </w:r>
      <w:r>
        <w:rPr>
          <w:rFonts w:hint="eastAsia" w:eastAsiaTheme="minorEastAsia"/>
          <w:sz w:val="20"/>
          <w:lang w:eastAsia="zh-CN"/>
        </w:rPr>
        <w:t>NR mobility enhancements</w:t>
      </w:r>
    </w:p>
    <w:p>
      <w:pPr>
        <w:pStyle w:val="25"/>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11</w:t>
      </w:r>
      <w:r>
        <w:rPr>
          <w:rFonts w:hint="eastAsia" w:eastAsia="宋体"/>
          <w:sz w:val="20"/>
          <w:lang w:eastAsia="zh-CN"/>
        </w:rPr>
        <w:t>.</w:t>
      </w:r>
      <w:r>
        <w:rPr>
          <w:rFonts w:hint="eastAsia" w:eastAsia="宋体"/>
          <w:sz w:val="20"/>
          <w:lang w:val="en-US" w:eastAsia="zh-CN"/>
        </w:rPr>
        <w:t>9</w:t>
      </w:r>
    </w:p>
    <w:p>
      <w:pPr>
        <w:pStyle w:val="25"/>
        <w:snapToGrid w:val="0"/>
        <w:spacing w:afterLines="50" w:line="240" w:lineRule="auto"/>
        <w:rPr>
          <w:sz w:val="20"/>
        </w:rPr>
      </w:pPr>
      <w:r>
        <w:rPr>
          <w:sz w:val="20"/>
        </w:rPr>
        <w:t>Document for:  Discussion and Decision</w:t>
      </w:r>
    </w:p>
    <w:bookmarkEnd w:id="0"/>
    <w:bookmarkEnd w:id="1"/>
    <w:p>
      <w:pPr>
        <w:pStyle w:val="2"/>
        <w:bidi w:val="0"/>
      </w:pPr>
      <w:r>
        <w:t>Introduction</w:t>
      </w:r>
    </w:p>
    <w:p>
      <w:pPr>
        <w:keepNext w:val="0"/>
        <w:keepLines w:val="0"/>
        <w:pageBreakBefore w:val="0"/>
        <w:kinsoku/>
        <w:wordWrap/>
        <w:topLinePunct w:val="0"/>
        <w:bidi w:val="0"/>
        <w:snapToGrid w:val="0"/>
        <w:spacing w:after="120" w:line="240" w:lineRule="auto"/>
        <w:outlineLvl w:val="9"/>
        <w:rPr>
          <w:rFonts w:hint="default"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A</w:t>
      </w:r>
      <w:r>
        <w:rPr>
          <w:rFonts w:hint="eastAsia" w:ascii="Times New Roman" w:hAnsi="Times New Roman" w:eastAsia="Times New Roman" w:cs="Times New Roman"/>
          <w:sz w:val="20"/>
          <w:szCs w:val="20"/>
          <w:lang w:val="en-US" w:eastAsia="en-US" w:bidi="ar-SA"/>
        </w:rPr>
        <w:t>fter RAN1</w:t>
      </w:r>
      <w:r>
        <w:rPr>
          <w:rFonts w:hint="eastAsia" w:eastAsia="宋体" w:cs="Times New Roman"/>
          <w:sz w:val="20"/>
          <w:szCs w:val="20"/>
          <w:lang w:val="en-US" w:eastAsia="zh-CN" w:bidi="ar-SA"/>
        </w:rPr>
        <w:t xml:space="preserve"> </w:t>
      </w:r>
      <w:r>
        <w:rPr>
          <w:rFonts w:hint="eastAsia" w:ascii="Times New Roman" w:hAnsi="Times New Roman" w:eastAsia="Times New Roman" w:cs="Times New Roman"/>
          <w:sz w:val="20"/>
          <w:szCs w:val="20"/>
          <w:lang w:val="en-US" w:eastAsia="en-US" w:bidi="ar-SA"/>
        </w:rPr>
        <w:t>#99 meeting</w:t>
      </w:r>
      <w:r>
        <w:rPr>
          <w:rFonts w:hint="eastAsia" w:eastAsia="宋体" w:cs="Times New Roman"/>
          <w:sz w:val="20"/>
          <w:szCs w:val="20"/>
          <w:lang w:val="en-US" w:eastAsia="zh-CN" w:bidi="ar-SA"/>
        </w:rPr>
        <w:t xml:space="preserve">, the discussion on </w:t>
      </w:r>
      <w:r>
        <w:rPr>
          <w:rFonts w:hint="eastAsia" w:ascii="Times New Roman" w:hAnsi="Times New Roman" w:eastAsia="Times New Roman" w:cs="Times New Roman"/>
          <w:sz w:val="20"/>
          <w:szCs w:val="20"/>
          <w:lang w:val="en-US" w:eastAsia="en-US" w:bidi="ar-SA"/>
        </w:rPr>
        <w:t>Rel-16 NR UE features</w:t>
      </w:r>
      <w:r>
        <w:rPr>
          <w:rFonts w:hint="eastAsia" w:eastAsia="宋体" w:cs="Times New Roman"/>
          <w:sz w:val="20"/>
          <w:szCs w:val="20"/>
          <w:lang w:val="en-US" w:eastAsia="zh-CN" w:bidi="ar-SA"/>
        </w:rPr>
        <w:t xml:space="preserve"> was triggered. T</w:t>
      </w:r>
      <w:r>
        <w:rPr>
          <w:rFonts w:hint="eastAsia" w:ascii="Times New Roman" w:hAnsi="Times New Roman" w:eastAsia="Times New Roman" w:cs="Times New Roman"/>
          <w:sz w:val="20"/>
          <w:szCs w:val="20"/>
          <w:lang w:val="en-US" w:eastAsia="en-US" w:bidi="ar-SA"/>
        </w:rPr>
        <w:t xml:space="preserve">he </w:t>
      </w:r>
      <w:r>
        <w:rPr>
          <w:rFonts w:hint="eastAsia" w:eastAsia="宋体" w:cs="Times New Roman"/>
          <w:sz w:val="20"/>
          <w:szCs w:val="20"/>
          <w:lang w:val="en-US" w:eastAsia="zh-CN" w:bidi="ar-SA"/>
        </w:rPr>
        <w:t xml:space="preserve">outcome of the </w:t>
      </w:r>
      <w:r>
        <w:rPr>
          <w:rFonts w:hint="eastAsia" w:ascii="Times New Roman" w:hAnsi="Times New Roman" w:eastAsia="Times New Roman" w:cs="Times New Roman"/>
          <w:sz w:val="20"/>
          <w:szCs w:val="20"/>
          <w:lang w:val="en-US" w:eastAsia="en-US" w:bidi="ar-SA"/>
        </w:rPr>
        <w:t xml:space="preserve">first phase </w:t>
      </w:r>
      <w:r>
        <w:rPr>
          <w:rFonts w:hint="eastAsia" w:eastAsia="宋体" w:cs="Times New Roman"/>
          <w:sz w:val="20"/>
          <w:szCs w:val="20"/>
          <w:lang w:val="en-US" w:eastAsia="zh-CN" w:bidi="ar-SA"/>
        </w:rPr>
        <w:t xml:space="preserve">of </w:t>
      </w:r>
      <w:r>
        <w:rPr>
          <w:rFonts w:hint="eastAsia" w:ascii="Times New Roman" w:hAnsi="Times New Roman" w:eastAsia="Times New Roman" w:cs="Times New Roman"/>
          <w:sz w:val="20"/>
          <w:szCs w:val="20"/>
          <w:lang w:val="en-US" w:eastAsia="en-US" w:bidi="ar-SA"/>
        </w:rPr>
        <w:t>email discussion</w:t>
      </w:r>
      <w:r>
        <w:rPr>
          <w:rFonts w:hint="eastAsia" w:eastAsia="宋体" w:cs="Times New Roman"/>
          <w:sz w:val="20"/>
          <w:szCs w:val="20"/>
          <w:lang w:val="en-US" w:eastAsia="zh-CN" w:bidi="ar-SA"/>
        </w:rPr>
        <w:t xml:space="preserve"> is summarized in </w:t>
      </w:r>
      <w:r>
        <w:rPr>
          <w:rFonts w:ascii="Times New Roman" w:hAnsi="Times New Roman"/>
          <w:sz w:val="20"/>
          <w:szCs w:val="20"/>
          <w:lang w:val="en-US" w:eastAsia="en-US"/>
        </w:rPr>
        <w:t>R1-2000930</w:t>
      </w:r>
      <w:r>
        <w:rPr>
          <w:rFonts w:hint="eastAsia" w:eastAsia="宋体"/>
          <w:sz w:val="20"/>
          <w:szCs w:val="20"/>
          <w:lang w:val="en-US" w:eastAsia="zh-CN"/>
        </w:rPr>
        <w:t xml:space="preserve"> in </w:t>
      </w:r>
      <w:r>
        <w:rPr>
          <w:rFonts w:hint="eastAsia" w:ascii="Times New Roman" w:hAnsi="Times New Roman" w:eastAsia="Times New Roman" w:cs="Times New Roman"/>
          <w:sz w:val="20"/>
          <w:szCs w:val="20"/>
          <w:lang w:val="en-US" w:eastAsia="en-US" w:bidi="ar-SA"/>
        </w:rPr>
        <w:t>RAN1 #</w:t>
      </w:r>
      <w:r>
        <w:rPr>
          <w:rFonts w:hint="eastAsia" w:eastAsia="宋体" w:cs="Times New Roman"/>
          <w:sz w:val="20"/>
          <w:szCs w:val="20"/>
          <w:lang w:val="en-US" w:eastAsia="zh-CN" w:bidi="ar-SA"/>
        </w:rPr>
        <w:t xml:space="preserve">100-e </w:t>
      </w:r>
      <w:r>
        <w:rPr>
          <w:rFonts w:hint="eastAsia" w:ascii="Times New Roman" w:hAnsi="Times New Roman" w:eastAsia="Times New Roman" w:cs="Times New Roman"/>
          <w:sz w:val="20"/>
          <w:szCs w:val="20"/>
          <w:lang w:val="en-US" w:eastAsia="en-US" w:bidi="ar-SA"/>
        </w:rPr>
        <w:t>meeting</w:t>
      </w:r>
      <w:r>
        <w:rPr>
          <w:rFonts w:hint="eastAsia" w:eastAsia="宋体" w:cs="Times New Roman"/>
          <w:sz w:val="20"/>
          <w:szCs w:val="20"/>
          <w:lang w:val="en-US" w:eastAsia="zh-CN" w:bidi="ar-SA"/>
        </w:rPr>
        <w:t xml:space="preserve"> [1], and is further updated in R1-2001484 based on the first round of email discussion after </w:t>
      </w:r>
      <w:r>
        <w:rPr>
          <w:rFonts w:hint="eastAsia" w:ascii="Times New Roman" w:hAnsi="Times New Roman" w:eastAsia="Times New Roman" w:cs="Times New Roman"/>
          <w:sz w:val="20"/>
          <w:szCs w:val="20"/>
          <w:lang w:val="en-US" w:eastAsia="en-US" w:bidi="ar-SA"/>
        </w:rPr>
        <w:t>RAN1 #</w:t>
      </w:r>
      <w:r>
        <w:rPr>
          <w:rFonts w:hint="eastAsia" w:eastAsia="宋体" w:cs="Times New Roman"/>
          <w:sz w:val="20"/>
          <w:szCs w:val="20"/>
          <w:lang w:val="en-US" w:eastAsia="zh-CN" w:bidi="ar-SA"/>
        </w:rPr>
        <w:t xml:space="preserve">100-e </w:t>
      </w:r>
      <w:r>
        <w:rPr>
          <w:rFonts w:hint="eastAsia" w:ascii="Times New Roman" w:hAnsi="Times New Roman" w:eastAsia="Times New Roman" w:cs="Times New Roman"/>
          <w:sz w:val="20"/>
          <w:szCs w:val="20"/>
          <w:lang w:val="en-US" w:eastAsia="en-US" w:bidi="ar-SA"/>
        </w:rPr>
        <w:t>meeting</w:t>
      </w:r>
      <w:r>
        <w:rPr>
          <w:rFonts w:hint="eastAsia" w:eastAsia="宋体" w:cs="Times New Roman"/>
          <w:sz w:val="20"/>
          <w:szCs w:val="20"/>
          <w:lang w:val="en-US" w:eastAsia="zh-CN" w:bidi="ar-SA"/>
        </w:rPr>
        <w:t xml:space="preserve"> [2]. In addition, an </w:t>
      </w:r>
      <w:r>
        <w:rPr>
          <w:rFonts w:eastAsia="ＭＳ 明朝"/>
          <w:sz w:val="20"/>
          <w:szCs w:val="20"/>
          <w:lang w:val="en-US"/>
        </w:rPr>
        <w:t xml:space="preserve">informational </w:t>
      </w:r>
      <w:r>
        <w:rPr>
          <w:rFonts w:hint="eastAsia" w:eastAsia="ＭＳ 明朝"/>
          <w:sz w:val="20"/>
          <w:szCs w:val="20"/>
          <w:lang w:val="en-US"/>
        </w:rPr>
        <w:t>summar</w:t>
      </w:r>
      <w:r>
        <w:rPr>
          <w:rFonts w:hint="eastAsia" w:ascii="Times New Roman" w:hAnsi="Times New Roman" w:eastAsia="Times New Roman" w:cs="Times New Roman"/>
          <w:sz w:val="20"/>
          <w:szCs w:val="20"/>
          <w:lang w:val="en-US" w:eastAsia="en-US" w:bidi="ar-SA"/>
        </w:rPr>
        <w:t>y on the email discussion</w:t>
      </w:r>
      <w:r>
        <w:rPr>
          <w:rFonts w:hint="eastAsia" w:ascii="Times New Roman" w:hAnsi="Times New Roman" w:eastAsia="Times New Roman" w:cs="Times New Roman"/>
          <w:sz w:val="20"/>
          <w:szCs w:val="20"/>
          <w:lang w:val="en-US" w:eastAsia="zh-CN" w:bidi="ar-SA"/>
        </w:rPr>
        <w:t xml:space="preserve"> of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Times New Roman" w:cs="Times New Roman"/>
          <w:sz w:val="20"/>
          <w:szCs w:val="20"/>
          <w:lang w:val="en-US" w:eastAsia="zh-CN" w:bidi="ar-SA"/>
        </w:rPr>
        <w:t xml:space="preserve"> is provided in RP-200502 in </w:t>
      </w:r>
      <w:r>
        <w:rPr>
          <w:rFonts w:hint="eastAsia" w:ascii="Times New Roman" w:hAnsi="Times New Roman" w:eastAsia="Times New Roman" w:cs="Times New Roman"/>
          <w:sz w:val="20"/>
          <w:szCs w:val="20"/>
          <w:lang w:val="en-US" w:eastAsia="en-US" w:bidi="ar-SA"/>
        </w:rPr>
        <w:t>RAN #87-e</w:t>
      </w:r>
      <w:r>
        <w:rPr>
          <w:rFonts w:hint="eastAsia" w:ascii="Times New Roman" w:hAnsi="Times New Roman" w:eastAsia="Times New Roman" w:cs="Times New Roman"/>
          <w:sz w:val="20"/>
          <w:szCs w:val="20"/>
          <w:lang w:val="en-US" w:eastAsia="zh-CN" w:bidi="ar-SA"/>
        </w:rPr>
        <w:t xml:space="preserve"> meeting [</w:t>
      </w:r>
      <w:r>
        <w:rPr>
          <w:rFonts w:hint="eastAsia" w:cs="Times New Roman"/>
          <w:sz w:val="20"/>
          <w:szCs w:val="20"/>
          <w:lang w:val="en-US" w:eastAsia="zh-CN" w:bidi="ar-SA"/>
        </w:rPr>
        <w:t>3</w:t>
      </w:r>
      <w:r>
        <w:rPr>
          <w:rFonts w:hint="eastAsia" w:ascii="Times New Roman" w:hAnsi="Times New Roman" w:eastAsia="Times New Roman" w:cs="Times New Roman"/>
          <w:sz w:val="20"/>
          <w:szCs w:val="20"/>
          <w:lang w:val="en-US" w:eastAsia="zh-CN" w:bidi="ar-SA"/>
        </w:rPr>
        <w:t xml:space="preserve">]. </w:t>
      </w:r>
    </w:p>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ascii="Times New Roman" w:hAnsi="Times New Roman" w:eastAsia="宋体"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 xml:space="preserve">In this contribution, we provide our further views on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宋体" w:cs="Times New Roman"/>
          <w:sz w:val="20"/>
          <w:szCs w:val="20"/>
          <w:lang w:val="en-US" w:eastAsia="zh-CN" w:bidi="ar-SA"/>
        </w:rPr>
        <w:t xml:space="preserve"> for NR mobility enhancements. </w:t>
      </w:r>
    </w:p>
    <w:p>
      <w:pPr>
        <w:pStyle w:val="2"/>
        <w:bidi w:val="0"/>
        <w:rPr>
          <w:lang w:val="en-US"/>
        </w:rPr>
      </w:pPr>
      <w:r>
        <w:rPr>
          <w:rFonts w:hint="eastAsia"/>
          <w:lang w:val="en-US" w:eastAsia="zh-CN"/>
        </w:rPr>
        <w:t>Discussion</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jc w:val="both"/>
        <w:textAlignment w:val="baseline"/>
        <w:outlineLvl w:val="9"/>
        <w:rPr>
          <w:lang w:val="en-US"/>
        </w:rPr>
      </w:pPr>
      <w:r>
        <w:rPr>
          <w:rFonts w:hint="eastAsia" w:eastAsia="宋体" w:cs="Times New Roman"/>
          <w:b/>
          <w:bCs/>
          <w:i w:val="0"/>
          <w:iCs w:val="0"/>
          <w:sz w:val="20"/>
          <w:szCs w:val="21"/>
          <w:lang w:val="en-US" w:eastAsia="zh-CN"/>
        </w:rPr>
        <w:t>UE capability type for FG 21-1</w:t>
      </w:r>
    </w:p>
    <w:p>
      <w:pPr>
        <w:bidi w:val="0"/>
        <w:rPr>
          <w:rFonts w:hint="eastAsia"/>
          <w:lang w:val="en-US" w:eastAsia="zh-CN"/>
        </w:rPr>
      </w:pPr>
      <w:r>
        <w:rPr>
          <w:rFonts w:hint="eastAsia"/>
          <w:lang w:val="en-US" w:eastAsia="zh-CN"/>
        </w:rPr>
        <w:t xml:space="preserve">In </w:t>
      </w:r>
      <w:r>
        <w:rPr>
          <w:lang w:eastAsia="ja-JP"/>
        </w:rPr>
        <w:t>RAN2</w:t>
      </w:r>
      <w:r>
        <w:rPr>
          <w:rFonts w:hint="eastAsia" w:eastAsia="宋体"/>
          <w:lang w:val="en-US" w:eastAsia="zh-CN"/>
        </w:rPr>
        <w:t xml:space="preserve"> </w:t>
      </w:r>
      <w:r>
        <w:rPr>
          <w:lang w:eastAsia="ja-JP"/>
        </w:rPr>
        <w:t>#109e</w:t>
      </w:r>
      <w:r>
        <w:rPr>
          <w:rFonts w:hint="eastAsia"/>
          <w:lang w:val="en-US" w:eastAsia="zh-CN"/>
        </w:rPr>
        <w:t xml:space="preserve"> meeting, UE capability for NR mobility was discussed, and some agreements related to RAN1 are copied below. It was agreed that i</w:t>
      </w:r>
      <w:r>
        <w:rPr>
          <w:rFonts w:hint="default"/>
          <w:lang w:eastAsia="zh-CN"/>
        </w:rPr>
        <w:t>ntra-frequency DAPS-HO</w:t>
      </w:r>
      <w:r>
        <w:rPr>
          <w:rFonts w:hint="eastAsia"/>
          <w:lang w:val="en-US" w:eastAsia="zh-CN"/>
        </w:rPr>
        <w:t xml:space="preserve"> is specified as per Band per BC capability, and </w:t>
      </w:r>
      <w:r>
        <w:rPr>
          <w:rFonts w:hint="default"/>
          <w:lang w:eastAsia="zh-CN"/>
        </w:rPr>
        <w:t>int</w:t>
      </w:r>
      <w:r>
        <w:rPr>
          <w:rFonts w:hint="eastAsia"/>
          <w:lang w:val="en-US" w:eastAsia="zh-CN"/>
        </w:rPr>
        <w:t>er</w:t>
      </w:r>
      <w:r>
        <w:rPr>
          <w:rFonts w:hint="default"/>
          <w:lang w:eastAsia="zh-CN"/>
        </w:rPr>
        <w:t>-frequency DAPS-HO</w:t>
      </w:r>
      <w:r>
        <w:rPr>
          <w:rFonts w:hint="eastAsia"/>
          <w:lang w:val="en-US" w:eastAsia="zh-CN"/>
        </w:rPr>
        <w:t xml:space="preserve"> is specified as per BC.  </w:t>
      </w:r>
    </w:p>
    <w:tbl>
      <w:tblPr>
        <w:tblStyle w:val="38"/>
        <w:tblW w:w="9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51" w:type="dxa"/>
          </w:tcPr>
          <w:p>
            <w:pPr>
              <w:rPr>
                <w:rFonts w:hint="default"/>
                <w:vertAlign w:val="baseline"/>
                <w:lang w:val="en-US" w:eastAsia="zh-CN"/>
              </w:rPr>
            </w:pPr>
            <w:r>
              <w:rPr>
                <w:rFonts w:hint="eastAsia"/>
                <w:vertAlign w:val="baseline"/>
                <w:lang w:val="en-US" w:eastAsia="zh-CN"/>
              </w:rPr>
              <w:t>...</w:t>
            </w:r>
          </w:p>
          <w:p>
            <w:r>
              <w:t></w:t>
            </w:r>
            <w:r>
              <w:tab/>
            </w:r>
            <w:r>
              <w:t>3: Intra freq DAPS can be supported for bandwidthClass B/C and above UE (e.g. bandwidthClass B/C UE, the UE supports intraF DAPS with bandwidth class A for the band against source and target). The capability intra-FreqDAPS is put under bandParameter.</w:t>
            </w:r>
          </w:p>
          <w:p>
            <w:r>
              <w:t></w:t>
            </w:r>
            <w:r>
              <w:tab/>
            </w:r>
            <w:r>
              <w:t xml:space="preserve">4: </w:t>
            </w:r>
            <w:r>
              <w:rPr>
                <w:highlight w:val="yellow"/>
              </w:rPr>
              <w:t>For inter freq DAPS, the capability inter-FreqDAPS is specified per BC</w:t>
            </w:r>
            <w:r>
              <w:t xml:space="preserve"> (for intra band, inter band cases). .It  is put under existing CA bandcombiantion, and same as CA, the CCs in the bandcombination with UL can all be source or target PCell.</w:t>
            </w:r>
          </w:p>
          <w:p>
            <w:r>
              <w:t></w:t>
            </w:r>
            <w:r>
              <w:tab/>
            </w:r>
            <w:r>
              <w:t>5: Below RAN4 capabilities are introduced as baseline, and may be revised if more inputs are received from RAN4.</w:t>
            </w:r>
          </w:p>
          <w:p>
            <w:r>
              <w:t>•</w:t>
            </w:r>
            <w:r>
              <w:tab/>
            </w:r>
            <w:r>
              <w:t xml:space="preserve">Per BC: AsyncDAPS, supportedNumberTAG, singleUL-Transmission; </w:t>
            </w:r>
          </w:p>
          <w:p>
            <w:r>
              <w:t>•</w:t>
            </w:r>
            <w:r>
              <w:tab/>
            </w:r>
            <w:r>
              <w:t>Per Band per BC: intraBandDiffSCS, intraFreq-DAPS;</w:t>
            </w:r>
          </w:p>
          <w:p>
            <w:r>
              <w:t></w:t>
            </w:r>
            <w:r>
              <w:tab/>
            </w:r>
            <w:r>
              <w:t xml:space="preserve">6: Reuse CA capability supportedNumberTAG for DAPS handover. </w:t>
            </w:r>
          </w:p>
          <w:p>
            <w:r>
              <w:t></w:t>
            </w:r>
            <w:r>
              <w:tab/>
            </w:r>
            <w:r>
              <w:t xml:space="preserve">7: </w:t>
            </w:r>
            <w:r>
              <w:rPr>
                <w:highlight w:val="yellow"/>
              </w:rPr>
              <w:t>Per Band per BC capability</w:t>
            </w:r>
            <w:r>
              <w:t xml:space="preserve"> (intraBandDiffSCS, </w:t>
            </w:r>
            <w:r>
              <w:rPr>
                <w:highlight w:val="yellow"/>
              </w:rPr>
              <w:t>intraFreq-DAPS)</w:t>
            </w:r>
            <w:r>
              <w:t xml:space="preserve"> is put in BandParameters.</w:t>
            </w:r>
          </w:p>
          <w:p>
            <w:r>
              <w:t></w:t>
            </w:r>
            <w:r>
              <w:tab/>
            </w:r>
            <w:r>
              <w:t xml:space="preserve">8: Baseline is UplinkPowerSharingDAPS-HO, </w:t>
            </w:r>
            <w:r>
              <w:rPr>
                <w:highlight w:val="none"/>
              </w:rPr>
              <w:t xml:space="preserve">pdcch-BlindDetectionMCG1-UE and pdcch-BlindDetectionMCG2-UE are introduced as per BC capabilities. May  be revised if more inputs are received from RAN1., .e.g. on whether pdcch-BlindDetectionMCG1-UE and pdcch-BlindDetectionMCG2-UE can be per UE as DC. </w:t>
            </w:r>
          </w:p>
          <w:p>
            <w:pPr>
              <w:rPr>
                <w:rFonts w:hint="default" w:eastAsia="宋体"/>
                <w:lang w:val="en-US" w:eastAsia="zh-CN"/>
              </w:rPr>
            </w:pPr>
            <w:r>
              <w:rPr>
                <w:rFonts w:hint="eastAsia" w:eastAsia="宋体"/>
                <w:lang w:val="en-US" w:eastAsia="zh-CN"/>
              </w:rPr>
              <w:t>...</w:t>
            </w:r>
          </w:p>
        </w:tc>
      </w:tr>
    </w:tbl>
    <w:p>
      <w:pPr>
        <w:rPr>
          <w:rFonts w:hint="default"/>
          <w:lang w:val="en-US" w:eastAsia="zh-CN"/>
        </w:rPr>
      </w:pPr>
    </w:p>
    <w:p>
      <w:pPr>
        <w:rPr>
          <w:rFonts w:eastAsia="宋体"/>
          <w:b/>
          <w:bCs/>
          <w:lang w:eastAsia="zh-CN"/>
        </w:rPr>
      </w:pPr>
      <w:r>
        <w:rPr>
          <w:rFonts w:hint="eastAsia"/>
          <w:lang w:val="en-US" w:eastAsia="zh-CN"/>
        </w:rPr>
        <w:t xml:space="preserve">Given the reporting granularity for intra-frequency DAPS and inter-frequency DAPS is different, RAN2 will anyway need to define two separate signaling. So, it is clearer to separate the support of intra-frequency DAPS and inter-frequency DAPS into two feature groups. Based on above, we have the following suggested revisions. </w:t>
      </w:r>
    </w:p>
    <w:tbl>
      <w:tblPr>
        <w:tblStyle w:val="37"/>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55"/>
        <w:gridCol w:w="5208"/>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9145" w:type="dxa"/>
            <w:gridSpan w:val="4"/>
            <w:tcBorders>
              <w:top w:val="single" w:color="auto" w:sz="4" w:space="0"/>
              <w:left w:val="single" w:color="auto" w:sz="4" w:space="0"/>
              <w:bottom w:val="single" w:color="auto" w:sz="4" w:space="0"/>
              <w:right w:val="single" w:color="auto" w:sz="4" w:space="0"/>
            </w:tcBorders>
          </w:tcPr>
          <w:p>
            <w:pPr>
              <w:pStyle w:val="121"/>
              <w:ind w:left="0" w:leftChars="0" w:firstLine="0" w:firstLineChars="0"/>
              <w:rPr>
                <w:rFonts w:hint="default" w:ascii="Times New Roman" w:hAnsi="Times New Roman" w:eastAsia="Times New Roman" w:cs="Times New Roman"/>
                <w:b/>
                <w:sz w:val="18"/>
                <w:szCs w:val="18"/>
                <w:lang w:val="en-GB" w:eastAsia="ja-JP" w:bidi="ar-SA"/>
              </w:rPr>
            </w:pPr>
            <w:r>
              <w:rPr>
                <w:rFonts w:hint="eastAsia" w:ascii="Times New Roman" w:hAnsi="Times New Roman" w:eastAsia="Times New Roman" w:cs="Times New Roman"/>
                <w:b/>
                <w:i/>
                <w:iCs/>
                <w:sz w:val="18"/>
                <w:szCs w:val="22"/>
                <w:lang w:val="en-US" w:eastAsia="zh-CN" w:bidi="ar-SA"/>
              </w:rPr>
              <w:t xml:space="preserve">Suggested revision #1 on FG </w:t>
            </w:r>
            <w:r>
              <w:rPr>
                <w:rFonts w:hint="eastAsia" w:ascii="Times New Roman" w:hAnsi="Times New Roman" w:cs="Times New Roman"/>
                <w:b/>
                <w:i/>
                <w:iCs/>
                <w:sz w:val="18"/>
                <w:szCs w:val="22"/>
                <w:lang w:val="en-US" w:eastAsia="zh-CN" w:bidi="ar-SA"/>
              </w:rPr>
              <w:t>2</w:t>
            </w:r>
            <w:r>
              <w:rPr>
                <w:rFonts w:hint="eastAsia" w:ascii="Times New Roman" w:hAnsi="Times New Roman" w:eastAsia="Times New Roman" w:cs="Times New Roman"/>
                <w:b/>
                <w:i/>
                <w:iCs/>
                <w:sz w:val="18"/>
                <w:szCs w:val="22"/>
                <w:lang w:val="en-US" w:eastAsia="zh-CN" w:bidi="ar-SA"/>
              </w:rPr>
              <w:t>1-</w:t>
            </w:r>
            <w:r>
              <w:rPr>
                <w:rFonts w:hint="eastAsia" w:ascii="Times New Roman" w:hAnsi="Times New Roman" w:cs="Times New Roman"/>
                <w:b/>
                <w:i/>
                <w:iCs/>
                <w:sz w:val="18"/>
                <w:szCs w:val="22"/>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955"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5208"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2272" w:type="dxa"/>
            <w:tcBorders>
              <w:top w:val="single" w:color="auto" w:sz="4" w:space="0"/>
              <w:left w:val="single" w:color="auto" w:sz="4" w:space="0"/>
              <w:bottom w:val="single" w:color="auto" w:sz="4" w:space="0"/>
              <w:right w:val="single" w:color="auto" w:sz="4" w:space="0"/>
            </w:tcBorders>
            <w:vAlign w:val="top"/>
          </w:tcPr>
          <w:p>
            <w:pPr>
              <w:pStyle w:val="121"/>
              <w:ind w:left="0" w:firstLine="0"/>
              <w:jc w:val="center"/>
              <w:rPr>
                <w:rFonts w:hint="default" w:ascii="Times New Roman" w:hAnsi="Times New Roman" w:eastAsia="Times New Roman" w:cs="Times New Roman"/>
                <w:b/>
                <w:sz w:val="18"/>
                <w:szCs w:val="18"/>
                <w:lang w:val="en-GB" w:eastAsia="ja-JP" w:bidi="ar-SA"/>
              </w:rPr>
            </w:pPr>
            <w:r>
              <w:rPr>
                <w:rFonts w:hint="default" w:ascii="Times New Roman" w:hAnsi="Times New Roman" w:eastAsia="Times New Roman" w:cs="Times New Roman"/>
                <w:b/>
                <w:sz w:val="18"/>
                <w:szCs w:val="18"/>
                <w:lang w:val="en-GB" w:eastAsia="ja-JP" w:bidi="ar-SA"/>
              </w:rPr>
              <w:t>Type</w:t>
            </w:r>
          </w:p>
          <w:p>
            <w:pPr>
              <w:pStyle w:val="121"/>
              <w:ind w:left="0" w:leftChars="0" w:firstLine="0" w:firstLineChars="0"/>
              <w:jc w:val="center"/>
              <w:rPr>
                <w:rFonts w:hint="default" w:ascii="Times New Roman" w:hAnsi="Times New Roman" w:eastAsia="Times New Roman" w:cs="Times New Roman"/>
                <w:b/>
                <w:sz w:val="18"/>
                <w:szCs w:val="18"/>
                <w:lang w:val="en-GB" w:eastAsia="ja-JP" w:bidi="ar-SA"/>
              </w:rPr>
            </w:pPr>
            <w:r>
              <w:rPr>
                <w:rFonts w:hint="default" w:ascii="Times New Roman" w:hAnsi="Times New Roman" w:eastAsia="Times New Roman" w:cs="Times New Roman"/>
                <w:b/>
                <w:sz w:val="18"/>
                <w:szCs w:val="18"/>
                <w:lang w:val="en-GB" w:eastAsia="ja-JP" w:bidi="ar-SA"/>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cs="Times New Roman"/>
                <w:strike/>
                <w:dstrike w:val="0"/>
                <w:sz w:val="18"/>
                <w:szCs w:val="18"/>
                <w:lang w:eastAsia="ja-JP"/>
              </w:rPr>
            </w:pPr>
            <w:r>
              <w:rPr>
                <w:rFonts w:hint="default" w:ascii="Times New Roman" w:hAnsi="Times New Roman" w:cs="Times New Roman"/>
                <w:strike/>
                <w:dstrike w:val="0"/>
                <w:sz w:val="18"/>
                <w:szCs w:val="18"/>
                <w:lang w:eastAsia="ja-JP"/>
              </w:rPr>
              <w:t>21-1</w:t>
            </w:r>
          </w:p>
        </w:tc>
        <w:tc>
          <w:tcPr>
            <w:tcW w:w="955"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cs="Times New Roman"/>
                <w:strike/>
                <w:dstrike w:val="0"/>
                <w:sz w:val="18"/>
                <w:szCs w:val="18"/>
                <w:lang w:eastAsia="zh-CN"/>
              </w:rPr>
            </w:pPr>
            <w:r>
              <w:rPr>
                <w:rFonts w:hint="default" w:ascii="Times New Roman" w:hAnsi="Times New Roman" w:eastAsia="宋体" w:cs="Times New Roman"/>
                <w:strike/>
                <w:dstrike w:val="0"/>
                <w:sz w:val="18"/>
                <w:szCs w:val="18"/>
                <w:lang w:eastAsia="zh-CN"/>
              </w:rPr>
              <w:t>DAPS HO</w:t>
            </w:r>
          </w:p>
        </w:tc>
        <w:tc>
          <w:tcPr>
            <w:tcW w:w="5208"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cs="Times New Roman"/>
                <w:strike/>
                <w:dstrike w:val="0"/>
                <w:sz w:val="18"/>
                <w:szCs w:val="18"/>
                <w:lang w:eastAsia="zh-CN"/>
              </w:rPr>
            </w:pPr>
            <w:r>
              <w:rPr>
                <w:rFonts w:hint="default" w:ascii="Times New Roman" w:hAnsi="Times New Roman" w:cs="Times New Roman"/>
                <w:strike/>
                <w:dstrike w:val="0"/>
                <w:sz w:val="18"/>
                <w:szCs w:val="18"/>
                <w:lang w:eastAsia="zh-CN"/>
              </w:rPr>
              <w:t>For the Indicated support of  intra-frequency DAPS-HO for a given [band] and indicated support of inter-frequency DAPS-HO for a given [band combination].</w:t>
            </w:r>
          </w:p>
          <w:p>
            <w:pPr>
              <w:pStyle w:val="51"/>
              <w:rPr>
                <w:rFonts w:hint="default" w:ascii="Times New Roman" w:hAnsi="Times New Roman" w:cs="Times New Roman"/>
                <w:strike/>
                <w:dstrike w:val="0"/>
                <w:sz w:val="18"/>
                <w:szCs w:val="18"/>
                <w:lang w:eastAsia="zh-CN"/>
              </w:rPr>
            </w:pPr>
          </w:p>
          <w:p>
            <w:pPr>
              <w:pStyle w:val="51"/>
              <w:rPr>
                <w:rFonts w:hint="default" w:ascii="Times New Roman" w:hAnsi="Times New Roman" w:cs="Times New Roman"/>
                <w:strike/>
                <w:dstrike w:val="0"/>
                <w:sz w:val="18"/>
                <w:szCs w:val="18"/>
                <w:lang w:eastAsia="zh-CN"/>
              </w:rPr>
            </w:pPr>
            <w:r>
              <w:rPr>
                <w:rFonts w:hint="default" w:ascii="Times New Roman" w:hAnsi="Times New Roman" w:cs="Times New Roman"/>
                <w:strike/>
                <w:dstrike w:val="0"/>
                <w:sz w:val="18"/>
                <w:szCs w:val="18"/>
                <w:lang w:eastAsia="zh-CN"/>
              </w:rPr>
              <w:t>1) Indicates support of simultaneous DL reception of PDCCH and PDSCH from source and target cell in DAPS-HO</w:t>
            </w:r>
          </w:p>
          <w:p>
            <w:pPr>
              <w:pStyle w:val="51"/>
              <w:rPr>
                <w:rFonts w:hint="default" w:ascii="Times New Roman" w:hAnsi="Times New Roman" w:cs="Times New Roman"/>
                <w:strike/>
                <w:dstrike w:val="0"/>
                <w:sz w:val="18"/>
                <w:szCs w:val="18"/>
                <w:lang w:eastAsia="zh-CN"/>
              </w:rPr>
            </w:pPr>
          </w:p>
          <w:p>
            <w:pPr>
              <w:pStyle w:val="51"/>
              <w:rPr>
                <w:rFonts w:hint="default" w:ascii="Times New Roman" w:hAnsi="Times New Roman" w:cs="Times New Roman"/>
                <w:strike/>
                <w:dstrike w:val="0"/>
                <w:sz w:val="18"/>
                <w:szCs w:val="18"/>
                <w:lang w:eastAsia="zh-CN"/>
              </w:rPr>
            </w:pPr>
            <w:r>
              <w:rPr>
                <w:rFonts w:hint="default" w:ascii="Times New Roman" w:hAnsi="Times New Roman" w:cs="Times New Roman"/>
                <w:strike/>
                <w:dstrike w:val="0"/>
                <w:sz w:val="18"/>
                <w:szCs w:val="18"/>
                <w:lang w:eastAsia="zh-CN"/>
              </w:rPr>
              <w:t>2) Indicates support of PDCCH blind decoding capability in the first MCG and second MCG.</w:t>
            </w:r>
          </w:p>
        </w:tc>
        <w:tc>
          <w:tcPr>
            <w:tcW w:w="2272"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宋体" w:cs="Times New Roman"/>
                <w:strike/>
                <w:dstrike w:val="0"/>
                <w:sz w:val="18"/>
                <w:szCs w:val="18"/>
                <w:lang w:eastAsia="zh-CN"/>
              </w:rPr>
            </w:pPr>
            <w:r>
              <w:rPr>
                <w:rFonts w:hint="default" w:ascii="Times New Roman" w:hAnsi="Times New Roman" w:eastAsia="宋体" w:cs="Times New Roman"/>
                <w:strike/>
                <w:dstrike w:val="0"/>
                <w:sz w:val="18"/>
                <w:szCs w:val="18"/>
                <w:lang w:eastAsia="zh-CN"/>
              </w:rPr>
              <w:t>[Per BC]</w:t>
            </w:r>
          </w:p>
          <w:p>
            <w:pPr>
              <w:pStyle w:val="51"/>
              <w:rPr>
                <w:rFonts w:hint="default" w:ascii="Times New Roman" w:hAnsi="Times New Roman" w:cs="Times New Roman"/>
                <w:strike/>
                <w:dstrike w:val="0"/>
                <w:color w:val="FF0000"/>
                <w:sz w:val="18"/>
                <w:szCs w:val="18"/>
                <w:u w:val="singl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9"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leftChars="0" w:right="0" w:rightChars="0"/>
              <w:rPr>
                <w:rFonts w:hint="default" w:ascii="Times New Roman" w:hAnsi="Times New Roman" w:cs="Times New Roman"/>
                <w:color w:val="FF0000"/>
                <w:sz w:val="18"/>
                <w:szCs w:val="18"/>
                <w:u w:val="single"/>
                <w:lang w:eastAsia="ja-JP"/>
              </w:rPr>
            </w:pPr>
            <w:r>
              <w:rPr>
                <w:rFonts w:hint="default" w:ascii="Times New Roman" w:hAnsi="Times New Roman" w:cs="Times New Roman"/>
                <w:b w:val="0"/>
                <w:i w:val="0"/>
                <w:caps w:val="0"/>
                <w:color w:val="FF0000"/>
                <w:spacing w:val="0"/>
                <w:sz w:val="18"/>
                <w:szCs w:val="18"/>
                <w:u w:val="single"/>
              </w:rPr>
              <w:t>21-1a</w:t>
            </w:r>
          </w:p>
        </w:tc>
        <w:tc>
          <w:tcPr>
            <w:tcW w:w="955"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leftChars="0" w:right="0" w:rightChars="0"/>
              <w:rPr>
                <w:rFonts w:hint="default" w:ascii="Times New Roman" w:hAnsi="Times New Roman" w:cs="Times New Roman"/>
                <w:color w:val="FF0000"/>
                <w:sz w:val="18"/>
                <w:szCs w:val="18"/>
                <w:u w:val="single"/>
                <w:lang w:eastAsia="zh-CN"/>
              </w:rPr>
            </w:pPr>
            <w:r>
              <w:rPr>
                <w:rFonts w:hint="default" w:ascii="Times New Roman" w:hAnsi="Times New Roman" w:cs="Times New Roman"/>
                <w:b w:val="0"/>
                <w:i w:val="0"/>
                <w:caps w:val="0"/>
                <w:color w:val="FF0000"/>
                <w:spacing w:val="0"/>
                <w:sz w:val="18"/>
                <w:szCs w:val="18"/>
                <w:u w:val="single"/>
              </w:rPr>
              <w:t>Intra-frequency DAPS HO</w:t>
            </w:r>
          </w:p>
        </w:tc>
        <w:tc>
          <w:tcPr>
            <w:tcW w:w="5208"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Support of  intra-frequency DAPS-HO </w:t>
            </w:r>
          </w:p>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1) Support of simultaneous DL reception of PDCCH and PDSCH from source and target cell in DAPS-HO</w:t>
            </w:r>
          </w:p>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color w:val="FF0000"/>
                <w:sz w:val="18"/>
                <w:szCs w:val="18"/>
                <w:u w:val="single"/>
                <w:lang w:eastAsia="zh-CN"/>
              </w:rPr>
            </w:pPr>
            <w:r>
              <w:rPr>
                <w:rFonts w:hint="default" w:ascii="Times New Roman" w:hAnsi="Times New Roman" w:cs="Times New Roman"/>
                <w:b w:val="0"/>
                <w:i w:val="0"/>
                <w:caps w:val="0"/>
                <w:color w:val="FF0000"/>
                <w:spacing w:val="0"/>
                <w:sz w:val="18"/>
                <w:szCs w:val="18"/>
                <w:u w:val="single"/>
              </w:rPr>
              <w:t>2) Support of PDCCH blind decoding capability in the first MCG and second MCG.</w:t>
            </w:r>
          </w:p>
        </w:tc>
        <w:tc>
          <w:tcPr>
            <w:tcW w:w="2272"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leftChars="0" w:right="0" w:rightChars="0"/>
              <w:rPr>
                <w:rFonts w:hint="default" w:ascii="Times New Roman" w:hAnsi="Times New Roman" w:cs="Times New Roman"/>
                <w:color w:val="FF0000"/>
                <w:sz w:val="18"/>
                <w:szCs w:val="18"/>
                <w:u w:val="single"/>
                <w:lang w:val="en-US" w:eastAsia="ja-JP"/>
              </w:rPr>
            </w:pPr>
            <w:r>
              <w:rPr>
                <w:rFonts w:hint="default" w:ascii="Times New Roman" w:hAnsi="Times New Roman" w:cs="Times New Roman"/>
                <w:b w:val="0"/>
                <w:i w:val="0"/>
                <w:caps w:val="0"/>
                <w:color w:val="FF0000"/>
                <w:spacing w:val="0"/>
                <w:sz w:val="18"/>
                <w:szCs w:val="18"/>
                <w:u w:val="single"/>
              </w:rPr>
              <w:t>Per Band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9"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21-1b</w:t>
            </w:r>
          </w:p>
        </w:tc>
        <w:tc>
          <w:tcPr>
            <w:tcW w:w="955"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Inter-frequency DAPS HO</w:t>
            </w:r>
          </w:p>
        </w:tc>
        <w:tc>
          <w:tcPr>
            <w:tcW w:w="5208"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Support of  inter-frequency DAPS-HO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1) Support of simultaneous DL reception of PDCCH and PDSCH from source and target cell in DAPS-HO</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2) Support of PDCCH blind decoding capability in the first MCG and second MCG.</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 </w:t>
            </w:r>
          </w:p>
        </w:tc>
        <w:tc>
          <w:tcPr>
            <w:tcW w:w="2272"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Per BC</w:t>
            </w:r>
          </w:p>
        </w:tc>
      </w:tr>
    </w:tbl>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361" w:beforeLines="100"/>
        <w:ind w:left="420" w:hanging="420"/>
        <w:textAlignment w:val="baseline"/>
        <w:outlineLvl w:val="9"/>
        <w:rPr>
          <w:rFonts w:hint="eastAsia"/>
          <w:b/>
          <w:bCs/>
          <w:sz w:val="20"/>
          <w:szCs w:val="21"/>
          <w:lang w:val="en-US" w:eastAsia="zh-CN"/>
        </w:rPr>
      </w:pPr>
      <w:r>
        <w:rPr>
          <w:rFonts w:hint="eastAsia"/>
          <w:b/>
          <w:bCs/>
          <w:sz w:val="20"/>
          <w:szCs w:val="21"/>
          <w:lang w:val="en-US" w:eastAsia="zh-CN"/>
        </w:rPr>
        <w:t>Necessity of FG 21-2</w:t>
      </w:r>
    </w:p>
    <w:p>
      <w:pPr>
        <w:rPr>
          <w:rFonts w:hint="default" w:eastAsia="宋体"/>
          <w:lang w:val="en-US" w:eastAsia="zh-CN"/>
        </w:rPr>
      </w:pPr>
      <w:r>
        <w:rPr>
          <w:rFonts w:hint="eastAsia"/>
          <w:lang w:val="en-US" w:eastAsia="zh-CN"/>
        </w:rPr>
        <w:t xml:space="preserve">It has been agreed that the power control schemes of DAPS HO follow that of NR-DC by replacing </w:t>
      </w:r>
      <w:r>
        <w:rPr>
          <w:rFonts w:hint="default" w:ascii="Times New Roman" w:hAnsi="Times New Roman" w:cs="Times New Roman"/>
          <w:b w:val="0"/>
          <w:i w:val="0"/>
          <w:caps w:val="0"/>
          <w:color w:val="000000"/>
          <w:spacing w:val="0"/>
          <w:sz w:val="20"/>
          <w:szCs w:val="20"/>
          <w:shd w:val="clear" w:fill="FFFFFF"/>
        </w:rPr>
        <w:t>the MCG with target MCG and SCG with source MCG</w:t>
      </w:r>
      <w:r>
        <w:rPr>
          <w:rFonts w:hint="eastAsia" w:cs="Times New Roman"/>
          <w:b w:val="0"/>
          <w:i w:val="0"/>
          <w:caps w:val="0"/>
          <w:color w:val="000000"/>
          <w:spacing w:val="0"/>
          <w:sz w:val="20"/>
          <w:szCs w:val="20"/>
          <w:shd w:val="clear" w:fill="FFFFFF"/>
          <w:lang w:val="en-US" w:eastAsia="zh-CN"/>
        </w:rPr>
        <w:t xml:space="preserve">. From UE complexity perspective, there is no difference on the power control operation between NR-DC and DAPS HO. However, two separate UE capabilities are defined for NR-DC (FG 18-1/1a/1b) and DAPS HO (FG 21-2) according to the latest UE feature in [2]. Given the power control schemes are first defined in NR-DC, we suggest deleting the duplicated FG 12-2 defined for DAPS HO. </w:t>
      </w:r>
    </w:p>
    <w:tbl>
      <w:tblPr>
        <w:tblStyle w:val="38"/>
        <w:tblW w:w="9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77" w:type="dxa"/>
          </w:tcPr>
          <w:p>
            <w:pPr>
              <w:pStyle w:val="30"/>
              <w:keepNext w:val="0"/>
              <w:keepLines w:val="0"/>
              <w:widowControl/>
              <w:suppressLineNumbers w:val="0"/>
              <w:shd w:val="clear" w:fill="FFFFFF"/>
              <w:spacing w:before="0" w:beforeAutospacing="0" w:after="0" w:afterAutospacing="0" w:line="24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00FF00"/>
              </w:rPr>
              <w:t>Agreement:</w:t>
            </w:r>
          </w:p>
          <w:p>
            <w:pPr>
              <w:pStyle w:val="30"/>
              <w:keepNext w:val="0"/>
              <w:keepLines w:val="0"/>
              <w:widowControl/>
              <w:suppressLineNumbers w:val="0"/>
              <w:shd w:val="clear" w:fill="FFFFFF"/>
              <w:spacing w:before="0" w:beforeAutospacing="0" w:after="0" w:afterAutospacing="0" w:line="240" w:lineRule="atLeast"/>
              <w:ind w:right="0"/>
              <w:rPr>
                <w:vertAlign w:val="baseline"/>
                <w:lang w:val="en-GB" w:eastAsia="zh-CN"/>
              </w:rPr>
            </w:pPr>
            <w:r>
              <w:rPr>
                <w:rFonts w:hint="default" w:ascii="Times New Roman" w:hAnsi="Times New Roman" w:cs="Times New Roman"/>
                <w:b w:val="0"/>
                <w:i w:val="0"/>
                <w:caps w:val="0"/>
                <w:color w:val="000000"/>
                <w:spacing w:val="0"/>
                <w:sz w:val="20"/>
                <w:szCs w:val="20"/>
                <w:shd w:val="clear" w:fill="FFFFFF"/>
              </w:rPr>
              <w:t>If a UE is configured with DAPS HO operation, the UE performs transmission power control based on Section 7.6.2 of 38.213 replacing the MCG with target MCG and SCG with source MCG.</w:t>
            </w:r>
          </w:p>
        </w:tc>
      </w:tr>
    </w:tbl>
    <w:p>
      <w:pPr>
        <w:spacing w:before="137" w:beforeLines="50"/>
        <w:outlineLvl w:val="9"/>
        <w:rPr>
          <w:rFonts w:hint="eastAsia"/>
          <w:i/>
          <w:iCs w:val="0"/>
          <w:lang w:val="en-US" w:eastAsia="zh-CN"/>
        </w:rPr>
      </w:pPr>
      <w:r>
        <w:rPr>
          <w:b/>
          <w:i/>
          <w:iCs w:val="0"/>
          <w:lang w:val="en-GB" w:eastAsia="zh-CN"/>
        </w:rPr>
        <w:t xml:space="preserve">Proposal </w:t>
      </w:r>
      <w:r>
        <w:rPr>
          <w:rFonts w:hint="eastAsia"/>
          <w:b/>
          <w:i/>
          <w:iCs w:val="0"/>
          <w:lang w:val="en-US" w:eastAsia="zh-CN"/>
        </w:rPr>
        <w:t>1</w:t>
      </w:r>
      <w:r>
        <w:rPr>
          <w:i/>
          <w:iCs w:val="0"/>
          <w:lang w:val="en-GB" w:eastAsia="zh-CN"/>
        </w:rPr>
        <w:t>: Delete feature</w:t>
      </w:r>
      <w:r>
        <w:rPr>
          <w:rFonts w:hint="eastAsia"/>
          <w:i/>
          <w:iCs w:val="0"/>
          <w:lang w:val="en-US" w:eastAsia="zh-CN"/>
        </w:rPr>
        <w:t xml:space="preserve"> group</w:t>
      </w:r>
      <w:r>
        <w:rPr>
          <w:i/>
          <w:iCs w:val="0"/>
          <w:lang w:val="en-GB" w:eastAsia="zh-CN"/>
        </w:rPr>
        <w:t xml:space="preserve"> </w:t>
      </w:r>
      <w:r>
        <w:rPr>
          <w:rFonts w:hint="eastAsia"/>
          <w:i/>
          <w:iCs w:val="0"/>
          <w:lang w:val="en-US" w:eastAsia="zh-CN"/>
        </w:rPr>
        <w:t>21</w:t>
      </w:r>
      <w:r>
        <w:rPr>
          <w:i/>
          <w:iCs w:val="0"/>
          <w:lang w:val="en-GB" w:eastAsia="zh-CN"/>
        </w:rPr>
        <w:t>-</w:t>
      </w:r>
      <w:r>
        <w:rPr>
          <w:rFonts w:hint="eastAsia"/>
          <w:i/>
          <w:iCs w:val="0"/>
          <w:lang w:val="en-US" w:eastAsia="zh-CN"/>
        </w:rPr>
        <w:t>2</w:t>
      </w:r>
      <w:r>
        <w:rPr>
          <w:i/>
          <w:iCs w:val="0"/>
          <w:lang w:val="en-GB" w:eastAsia="zh-CN"/>
        </w:rPr>
        <w:t xml:space="preserve"> due to the duplication with 18-</w:t>
      </w:r>
      <w:r>
        <w:rPr>
          <w:rFonts w:hint="eastAsia"/>
          <w:i/>
          <w:iCs w:val="0"/>
          <w:lang w:val="en-US" w:eastAsia="zh-CN"/>
        </w:rPr>
        <w:t>1</w:t>
      </w:r>
      <w:r>
        <w:rPr>
          <w:rFonts w:hint="eastAsia" w:cs="Times New Roman"/>
          <w:b w:val="0"/>
          <w:i/>
          <w:iCs w:val="0"/>
          <w:caps w:val="0"/>
          <w:color w:val="000000"/>
          <w:spacing w:val="0"/>
          <w:sz w:val="20"/>
          <w:szCs w:val="20"/>
          <w:shd w:val="clear" w:fill="FFFFFF"/>
          <w:lang w:val="en-US" w:eastAsia="zh-CN"/>
        </w:rPr>
        <w:t>/1a/1b</w:t>
      </w:r>
      <w:r>
        <w:rPr>
          <w:i/>
          <w:iCs w:val="0"/>
          <w:lang w:val="en-GB" w:eastAsia="zh-CN"/>
        </w:rPr>
        <w:t>.</w:t>
      </w:r>
      <w:r>
        <w:rPr>
          <w:rFonts w:hint="eastAsia"/>
          <w:i/>
          <w:iCs w:val="0"/>
          <w:lang w:val="en-US" w:eastAsia="zh-CN"/>
        </w:rPr>
        <w:t xml:space="preserve">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361" w:beforeLines="100"/>
        <w:ind w:left="420" w:hanging="420"/>
        <w:textAlignment w:val="baseline"/>
        <w:outlineLvl w:val="9"/>
        <w:rPr>
          <w:rFonts w:hint="eastAsia"/>
          <w:b/>
          <w:bCs/>
          <w:sz w:val="20"/>
          <w:szCs w:val="21"/>
          <w:lang w:val="en-US" w:eastAsia="zh-CN"/>
        </w:rPr>
      </w:pPr>
      <w:r>
        <w:rPr>
          <w:rFonts w:hint="eastAsia"/>
          <w:b/>
          <w:bCs/>
          <w:sz w:val="20"/>
          <w:szCs w:val="21"/>
          <w:lang w:val="en-US" w:eastAsia="zh-CN"/>
        </w:rPr>
        <w:t>Necessity of FG 21-2a</w:t>
      </w:r>
    </w:p>
    <w:p>
      <w:pPr>
        <w:numPr>
          <w:ilvl w:val="0"/>
          <w:numId w:val="0"/>
        </w:numPr>
        <w:overflowPunct w:val="0"/>
        <w:autoSpaceDE w:val="0"/>
        <w:autoSpaceDN w:val="0"/>
        <w:adjustRightInd w:val="0"/>
        <w:spacing w:after="180"/>
        <w:textAlignment w:val="baseline"/>
        <w:rPr>
          <w:rFonts w:hint="default"/>
          <w:sz w:val="20"/>
          <w:szCs w:val="20"/>
          <w:lang w:val="en-US" w:eastAsia="zh-CN"/>
        </w:rPr>
      </w:pPr>
      <w:r>
        <w:rPr>
          <w:rFonts w:hint="eastAsia"/>
          <w:sz w:val="20"/>
          <w:szCs w:val="20"/>
          <w:lang w:val="en-US" w:eastAsia="zh-CN"/>
        </w:rPr>
        <w:t xml:space="preserve">The consequence of not supporting FG 21-2a is "the UE does not expect UL transmissions to source cell and target cell overlap".  However, it is impossible for gNB to avoid such collision in some cases. In addition, RAN2 has agreed to use </w:t>
      </w:r>
      <w:r>
        <w:rPr>
          <w:rFonts w:hint="eastAsia"/>
          <w:i/>
          <w:iCs/>
          <w:sz w:val="20"/>
          <w:szCs w:val="20"/>
          <w:lang w:val="en-US" w:eastAsia="zh-CN"/>
        </w:rPr>
        <w:t>singleUL-Transmission</w:t>
      </w:r>
      <w:r>
        <w:rPr>
          <w:rFonts w:hint="eastAsia"/>
          <w:sz w:val="20"/>
          <w:szCs w:val="20"/>
          <w:lang w:val="en-US" w:eastAsia="zh-CN"/>
        </w:rPr>
        <w:t xml:space="preserve"> as the baseline to indicate that the UE does not support simultaneous UL transmissions. That means if a UE reports </w:t>
      </w:r>
      <w:r>
        <w:rPr>
          <w:rFonts w:hint="eastAsia"/>
          <w:i/>
          <w:iCs/>
          <w:sz w:val="20"/>
          <w:szCs w:val="20"/>
          <w:lang w:val="en-US" w:eastAsia="zh-CN"/>
        </w:rPr>
        <w:t>singleUL-Transmission</w:t>
      </w:r>
      <w:r>
        <w:rPr>
          <w:rFonts w:hint="eastAsia"/>
          <w:sz w:val="20"/>
          <w:szCs w:val="20"/>
          <w:lang w:val="en-US" w:eastAsia="zh-CN"/>
        </w:rPr>
        <w:t>, the UE should be able to support dropping of transmission to source cell. In other words, a UE supporting DAPS HO should be able to </w:t>
      </w:r>
      <w:r>
        <w:rPr>
          <w:rFonts w:hint="default"/>
          <w:sz w:val="20"/>
          <w:szCs w:val="20"/>
          <w:lang w:val="en-US" w:eastAsia="zh-CN"/>
        </w:rPr>
        <w:t>either support simultaneous UL transmissions or single transmission with dropping the transmission to source cell.</w:t>
      </w:r>
      <w:r>
        <w:rPr>
          <w:rFonts w:hint="eastAsia"/>
          <w:sz w:val="20"/>
          <w:szCs w:val="20"/>
          <w:lang w:val="en-US" w:eastAsia="zh-CN"/>
        </w:rPr>
        <w:t xml:space="preserve"> </w:t>
      </w:r>
      <w:r>
        <w:rPr>
          <w:rFonts w:hint="default"/>
          <w:sz w:val="20"/>
          <w:szCs w:val="20"/>
          <w:lang w:val="en-US" w:eastAsia="zh-CN"/>
        </w:rPr>
        <w:t>So far</w:t>
      </w:r>
      <w:r>
        <w:rPr>
          <w:rFonts w:hint="eastAsia"/>
          <w:sz w:val="20"/>
          <w:szCs w:val="20"/>
          <w:lang w:val="en-US" w:eastAsia="zh-CN"/>
        </w:rPr>
        <w:t>,</w:t>
      </w:r>
      <w:r>
        <w:rPr>
          <w:rFonts w:hint="default"/>
          <w:sz w:val="20"/>
          <w:szCs w:val="20"/>
          <w:lang w:val="en-US" w:eastAsia="zh-CN"/>
        </w:rPr>
        <w:t xml:space="preserve"> we haven't got agreement to support adding this extra capability. There was discussion on dropping/cancelation rules in RAN1#100e but no consensus has been reached. Therefore, this capability should be removed at least for now.</w:t>
      </w:r>
    </w:p>
    <w:tbl>
      <w:tblPr>
        <w:tblStyle w:val="37"/>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331"/>
        <w:gridCol w:w="4832"/>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1331"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4832"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2272" w:type="dxa"/>
            <w:tcBorders>
              <w:top w:val="single" w:color="auto" w:sz="4" w:space="0"/>
              <w:left w:val="single" w:color="auto" w:sz="4" w:space="0"/>
              <w:bottom w:val="single" w:color="auto" w:sz="4" w:space="0"/>
              <w:right w:val="single" w:color="auto" w:sz="4" w:space="0"/>
            </w:tcBorders>
            <w:vAlign w:val="top"/>
          </w:tcPr>
          <w:p>
            <w:pPr>
              <w:pStyle w:val="121"/>
              <w:ind w:left="0" w:leftChars="0" w:firstLine="0" w:firstLineChars="0"/>
              <w:jc w:val="center"/>
              <w:rPr>
                <w:rFonts w:hint="default" w:ascii="Times New Roman" w:hAnsi="Times New Roman" w:eastAsia="Times New Roman" w:cs="Times New Roman"/>
                <w:b/>
                <w:sz w:val="18"/>
                <w:szCs w:val="18"/>
                <w:lang w:val="en-GB" w:eastAsia="ja-JP" w:bidi="ar-SA"/>
              </w:rPr>
            </w:pPr>
            <w:r>
              <w:rPr>
                <w:rFonts w:hint="default" w:ascii="Times New Roman" w:hAnsi="Times New Roman" w:eastAsia="Times New Roman" w:cs="Times New Roman"/>
                <w:b/>
                <w:sz w:val="18"/>
                <w:szCs w:val="18"/>
                <w:lang w:val="en-GB" w:eastAsia="ja-JP" w:bidi="ar-SA"/>
              </w:rPr>
              <w:t>Consequence if the feature is not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2"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21-2a</w:t>
            </w:r>
          </w:p>
        </w:tc>
        <w:tc>
          <w:tcPr>
            <w:tcW w:w="1331"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zh-CN" w:bidi="ar-SA"/>
              </w:rPr>
              <w:t>UL transmission cancellation</w:t>
            </w:r>
          </w:p>
        </w:tc>
        <w:tc>
          <w:tcPr>
            <w:tcW w:w="4832"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zh-CN" w:bidi="ar-SA"/>
              </w:rPr>
              <w:t>Indicates support of cancelling UL transmission to the source cell</w:t>
            </w:r>
          </w:p>
        </w:tc>
        <w:tc>
          <w:tcPr>
            <w:tcW w:w="2272"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ja-JP" w:bidi="ar-SA"/>
              </w:rPr>
            </w:pPr>
            <w:r>
              <w:rPr>
                <w:rFonts w:hint="default" w:ascii="Times New Roman" w:hAnsi="Times New Roman" w:eastAsia="Times New Roman" w:cs="Times New Roman"/>
                <w:sz w:val="18"/>
                <w:szCs w:val="18"/>
                <w:lang w:val="en-US" w:eastAsia="zh-CN" w:bidi="ar-SA"/>
              </w:rPr>
              <w:t>The UE does not expect UL transmissions to source cell and target cell overlap. The indication is signalled per pair of bands per band combination.</w:t>
            </w:r>
          </w:p>
        </w:tc>
      </w:tr>
    </w:tbl>
    <w:p>
      <w:pPr>
        <w:spacing w:before="137" w:beforeLines="50"/>
        <w:outlineLvl w:val="9"/>
        <w:rPr>
          <w:rFonts w:hint="default"/>
          <w:i/>
          <w:iCs w:val="0"/>
          <w:lang w:val="en-US" w:eastAsia="zh-CN"/>
        </w:rPr>
      </w:pPr>
      <w:r>
        <w:rPr>
          <w:b/>
          <w:i/>
          <w:iCs w:val="0"/>
          <w:lang w:val="en-GB" w:eastAsia="zh-CN"/>
        </w:rPr>
        <w:t xml:space="preserve">Proposal </w:t>
      </w:r>
      <w:r>
        <w:rPr>
          <w:rFonts w:hint="eastAsia"/>
          <w:b/>
          <w:i/>
          <w:iCs w:val="0"/>
          <w:lang w:val="en-US" w:eastAsia="zh-CN"/>
        </w:rPr>
        <w:t>2</w:t>
      </w:r>
      <w:r>
        <w:rPr>
          <w:i/>
          <w:iCs w:val="0"/>
          <w:lang w:val="en-GB" w:eastAsia="zh-CN"/>
        </w:rPr>
        <w:t>: Delete feature</w:t>
      </w:r>
      <w:r>
        <w:rPr>
          <w:rFonts w:hint="eastAsia"/>
          <w:i/>
          <w:iCs w:val="0"/>
          <w:lang w:val="en-US" w:eastAsia="zh-CN"/>
        </w:rPr>
        <w:t xml:space="preserve"> group</w:t>
      </w:r>
      <w:r>
        <w:rPr>
          <w:i/>
          <w:iCs w:val="0"/>
          <w:lang w:val="en-GB" w:eastAsia="zh-CN"/>
        </w:rPr>
        <w:t xml:space="preserve"> </w:t>
      </w:r>
      <w:r>
        <w:rPr>
          <w:rFonts w:hint="eastAsia"/>
          <w:i/>
          <w:iCs w:val="0"/>
          <w:lang w:val="en-US" w:eastAsia="zh-CN"/>
        </w:rPr>
        <w:t>21</w:t>
      </w:r>
      <w:r>
        <w:rPr>
          <w:i/>
          <w:iCs w:val="0"/>
          <w:lang w:val="en-GB" w:eastAsia="zh-CN"/>
        </w:rPr>
        <w:t>-</w:t>
      </w:r>
      <w:r>
        <w:rPr>
          <w:rFonts w:hint="eastAsia"/>
          <w:i/>
          <w:iCs w:val="0"/>
          <w:lang w:val="en-US" w:eastAsia="zh-CN"/>
        </w:rPr>
        <w:t>2a</w:t>
      </w:r>
      <w:r>
        <w:rPr>
          <w:i/>
          <w:iCs w:val="0"/>
          <w:lang w:val="en-GB" w:eastAsia="zh-CN"/>
        </w:rPr>
        <w:t>.</w:t>
      </w:r>
      <w:r>
        <w:rPr>
          <w:rFonts w:hint="eastAsia"/>
          <w:i/>
          <w:iCs w:val="0"/>
          <w:lang w:val="en-US" w:eastAsia="zh-CN"/>
        </w:rPr>
        <w:t xml:space="preserve"> </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before="181" w:beforeLines="50" w:after="181" w:afterLines="50" w:line="240" w:lineRule="auto"/>
        <w:ind w:left="420" w:leftChars="0" w:hanging="420" w:firstLineChars="0"/>
        <w:jc w:val="both"/>
        <w:textAlignment w:val="baseline"/>
        <w:outlineLvl w:val="9"/>
        <w:rPr>
          <w:b/>
          <w:bCs/>
          <w:lang w:eastAsia="zh-CN"/>
        </w:rPr>
      </w:pPr>
      <w:r>
        <w:rPr>
          <w:rFonts w:hint="eastAsia" w:eastAsia="宋体" w:cs="Times New Roman"/>
          <w:b/>
          <w:bCs/>
          <w:i w:val="0"/>
          <w:iCs w:val="0"/>
          <w:sz w:val="20"/>
          <w:szCs w:val="21"/>
          <w:lang w:val="en-US" w:eastAsia="zh-CN"/>
        </w:rPr>
        <w:t>UE capability type for FG 21-3</w:t>
      </w:r>
    </w:p>
    <w:p>
      <w:pPr>
        <w:pStyle w:val="51"/>
        <w:keepNext/>
        <w:keepLines/>
        <w:pageBreakBefore w:val="0"/>
        <w:widowControl/>
        <w:numPr>
          <w:ilvl w:val="0"/>
          <w:numId w:val="0"/>
        </w:numPr>
        <w:kinsoku/>
        <w:wordWrap/>
        <w:overflowPunct w:val="0"/>
        <w:topLinePunct w:val="0"/>
        <w:autoSpaceDE w:val="0"/>
        <w:autoSpaceDN w:val="0"/>
        <w:bidi w:val="0"/>
        <w:adjustRightInd w:val="0"/>
        <w:snapToGrid w:val="0"/>
        <w:spacing w:after="181" w:afterLines="50"/>
        <w:textAlignment w:val="baseline"/>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Similar to the reporting of PDCCH blind detection capability for MCG and for SCG in Rel-15 NR DC (FG 6-25a), the capability for FG 21-3 can be reported per UE. Therefore, we suggest removing the brackets for the capability type. </w:t>
      </w:r>
    </w:p>
    <w:tbl>
      <w:tblPr>
        <w:tblStyle w:val="37"/>
        <w:tblW w:w="9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1340"/>
        <w:gridCol w:w="4544"/>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9170" w:type="dxa"/>
            <w:gridSpan w:val="4"/>
            <w:tcBorders>
              <w:top w:val="single" w:color="auto" w:sz="4" w:space="0"/>
              <w:left w:val="single" w:color="auto" w:sz="4" w:space="0"/>
              <w:bottom w:val="single" w:color="auto" w:sz="4" w:space="0"/>
              <w:right w:val="single" w:color="auto" w:sz="4" w:space="0"/>
            </w:tcBorders>
          </w:tcPr>
          <w:p>
            <w:pPr>
              <w:pStyle w:val="121"/>
              <w:ind w:left="0" w:leftChars="0" w:firstLine="0" w:firstLineChars="0"/>
              <w:rPr>
                <w:rFonts w:hint="default" w:ascii="Times New Roman" w:hAnsi="Times New Roman" w:eastAsia="Times New Roman" w:cs="Times New Roman"/>
                <w:b/>
                <w:sz w:val="18"/>
                <w:szCs w:val="18"/>
                <w:lang w:val="en-US" w:eastAsia="ja-JP"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2</w:t>
            </w:r>
            <w:r>
              <w:rPr>
                <w:rFonts w:hint="eastAsia" w:ascii="Times New Roman" w:hAnsi="Times New Roman" w:eastAsia="Times New Roman" w:cs="Times New Roman"/>
                <w:b/>
                <w:i/>
                <w:iCs/>
                <w:sz w:val="18"/>
                <w:szCs w:val="22"/>
                <w:lang w:val="en-US" w:eastAsia="zh-CN" w:bidi="ar-SA"/>
              </w:rPr>
              <w:t xml:space="preserve"> on</w:t>
            </w:r>
            <w:r>
              <w:rPr>
                <w:rFonts w:hint="eastAsia" w:ascii="Times New Roman" w:hAnsi="Times New Roman" w:cs="Times New Roman"/>
                <w:b/>
                <w:i/>
                <w:iCs/>
                <w:sz w:val="18"/>
                <w:szCs w:val="22"/>
                <w:lang w:val="en-US" w:eastAsia="zh-CN" w:bidi="ar-SA"/>
              </w:rPr>
              <w:t xml:space="preserve"> </w:t>
            </w:r>
            <w:r>
              <w:rPr>
                <w:rFonts w:hint="eastAsia" w:ascii="Times New Roman" w:hAnsi="Times New Roman" w:eastAsia="Times New Roman" w:cs="Times New Roman"/>
                <w:b/>
                <w:i/>
                <w:iCs/>
                <w:sz w:val="18"/>
                <w:szCs w:val="22"/>
                <w:lang w:val="en-US" w:eastAsia="zh-CN" w:bidi="ar-SA"/>
              </w:rPr>
              <w:t xml:space="preserve">FG </w:t>
            </w:r>
            <w:r>
              <w:rPr>
                <w:rFonts w:hint="eastAsia" w:ascii="Times New Roman" w:hAnsi="Times New Roman" w:cs="Times New Roman"/>
                <w:b/>
                <w:i/>
                <w:iCs/>
                <w:sz w:val="18"/>
                <w:szCs w:val="22"/>
                <w:lang w:val="en-US" w:eastAsia="zh-CN" w:bidi="ar-SA"/>
              </w:rPr>
              <w:t>2</w:t>
            </w:r>
            <w:r>
              <w:rPr>
                <w:rFonts w:hint="eastAsia" w:ascii="Times New Roman" w:hAnsi="Times New Roman" w:eastAsia="Times New Roman" w:cs="Times New Roman"/>
                <w:b/>
                <w:i/>
                <w:iCs/>
                <w:sz w:val="18"/>
                <w:szCs w:val="22"/>
                <w:lang w:val="en-US" w:eastAsia="zh-CN" w:bidi="ar-SA"/>
              </w:rPr>
              <w:t>1-</w:t>
            </w:r>
            <w:r>
              <w:rPr>
                <w:rFonts w:hint="eastAsia" w:ascii="Times New Roman" w:hAnsi="Times New Roman" w:cs="Times New Roman"/>
                <w:b/>
                <w:i/>
                <w:iCs/>
                <w:sz w:val="18"/>
                <w:szCs w:val="22"/>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trPr>
        <w:tc>
          <w:tcPr>
            <w:tcW w:w="878"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1340"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4544"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2408" w:type="dxa"/>
            <w:tcBorders>
              <w:top w:val="single" w:color="auto" w:sz="4" w:space="0"/>
              <w:left w:val="single" w:color="auto" w:sz="4" w:space="0"/>
              <w:bottom w:val="single" w:color="auto" w:sz="4" w:space="0"/>
              <w:right w:val="single" w:color="auto" w:sz="4" w:space="0"/>
            </w:tcBorders>
            <w:vAlign w:val="top"/>
          </w:tcPr>
          <w:p>
            <w:pPr>
              <w:pStyle w:val="121"/>
              <w:ind w:left="0" w:firstLine="0"/>
              <w:jc w:val="center"/>
              <w:rPr>
                <w:rFonts w:hint="default" w:ascii="Times New Roman" w:hAnsi="Times New Roman" w:eastAsia="Times New Roman" w:cs="Times New Roman"/>
                <w:b/>
                <w:sz w:val="18"/>
                <w:szCs w:val="18"/>
                <w:lang w:val="en-GB" w:eastAsia="ja-JP" w:bidi="ar-SA"/>
              </w:rPr>
            </w:pPr>
            <w:r>
              <w:rPr>
                <w:rFonts w:hint="default" w:ascii="Times New Roman" w:hAnsi="Times New Roman" w:eastAsia="Times New Roman" w:cs="Times New Roman"/>
                <w:b/>
                <w:sz w:val="18"/>
                <w:szCs w:val="18"/>
                <w:lang w:val="en-GB" w:eastAsia="ja-JP" w:bidi="ar-SA"/>
              </w:rPr>
              <w:t>Type</w:t>
            </w:r>
          </w:p>
          <w:p>
            <w:pPr>
              <w:pStyle w:val="121"/>
              <w:ind w:left="0" w:leftChars="0" w:firstLine="0" w:firstLineChars="0"/>
              <w:jc w:val="center"/>
              <w:rPr>
                <w:rFonts w:hint="default" w:ascii="Times New Roman" w:hAnsi="Times New Roman" w:eastAsia="宋体" w:cs="Times New Roman"/>
                <w:b/>
                <w:sz w:val="18"/>
                <w:szCs w:val="18"/>
                <w:lang w:val="en-US" w:eastAsia="zh-CN" w:bidi="ar-SA"/>
              </w:rPr>
            </w:pPr>
            <w:r>
              <w:rPr>
                <w:rFonts w:hint="default" w:ascii="Times New Roman" w:hAnsi="Times New Roman" w:eastAsia="Times New Roman" w:cs="Times New Roman"/>
                <w:b/>
                <w:sz w:val="18"/>
                <w:szCs w:val="18"/>
                <w:lang w:val="en-GB" w:eastAsia="ja-JP" w:bidi="ar-SA"/>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78"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ja-JP" w:bidi="ar-SA"/>
              </w:rPr>
              <w:t>21-3</w:t>
            </w:r>
          </w:p>
        </w:tc>
        <w:tc>
          <w:tcPr>
            <w:tcW w:w="1340"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zh-CN" w:bidi="ar-SA"/>
              </w:rPr>
              <w:t>PDCCH blind detection for MCG1 and MCG2</w:t>
            </w:r>
          </w:p>
        </w:tc>
        <w:tc>
          <w:tcPr>
            <w:tcW w:w="4544"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zh-CN" w:bidi="ar-SA"/>
              </w:rPr>
              <w:t>Indicates PDCCH blind decoding capability supported in the first MCG (intended for target cell in HO) and second MCG (intended for source cell in HO) when in DAPS-HO. Value range for both cells should be {1, …, 15}.</w:t>
            </w:r>
          </w:p>
        </w:tc>
        <w:tc>
          <w:tcPr>
            <w:tcW w:w="2408"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ja-JP" w:bidi="ar-SA"/>
              </w:rPr>
            </w:pPr>
            <w:r>
              <w:rPr>
                <w:rFonts w:hint="default" w:ascii="Times New Roman" w:hAnsi="Times New Roman" w:eastAsia="Times New Roman" w:cs="Times New Roman"/>
                <w:strike/>
                <w:dstrike w:val="0"/>
                <w:color w:val="FF0000"/>
                <w:sz w:val="18"/>
                <w:szCs w:val="18"/>
                <w:lang w:val="en-US" w:eastAsia="zh-CN" w:bidi="ar-SA"/>
              </w:rPr>
              <w:t>[</w:t>
            </w:r>
            <w:r>
              <w:rPr>
                <w:rFonts w:hint="default" w:ascii="Times New Roman" w:hAnsi="Times New Roman" w:eastAsia="Times New Roman" w:cs="Times New Roman"/>
                <w:sz w:val="18"/>
                <w:szCs w:val="18"/>
                <w:lang w:val="en-US" w:eastAsia="zh-CN" w:bidi="ar-SA"/>
              </w:rPr>
              <w:t>Per UE</w:t>
            </w:r>
            <w:r>
              <w:rPr>
                <w:rFonts w:hint="default" w:ascii="Times New Roman" w:hAnsi="Times New Roman" w:eastAsia="Times New Roman" w:cs="Times New Roman"/>
                <w:strike/>
                <w:dstrike w:val="0"/>
                <w:color w:val="FF0000"/>
                <w:sz w:val="18"/>
                <w:szCs w:val="18"/>
                <w:lang w:val="en-US" w:eastAsia="zh-CN" w:bidi="ar-SA"/>
              </w:rPr>
              <w:t>]</w:t>
            </w:r>
          </w:p>
        </w:tc>
      </w:tr>
    </w:tbl>
    <w:p>
      <w:pPr>
        <w:rPr>
          <w:rFonts w:eastAsia="MS Mincho"/>
          <w:sz w:val="22"/>
          <w:szCs w:val="22"/>
          <w:lang w:val="en-US"/>
        </w:rPr>
      </w:pPr>
    </w:p>
    <w:p>
      <w:pPr>
        <w:pStyle w:val="2"/>
        <w:bidi w:val="0"/>
        <w:rPr>
          <w:rFonts w:hint="eastAsia"/>
          <w:lang w:val="en-US" w:eastAsia="zh-CN"/>
        </w:rPr>
      </w:pPr>
      <w:r>
        <w:rPr>
          <w:rFonts w:hint="eastAsia"/>
          <w:lang w:val="en-US" w:eastAsia="zh-CN"/>
        </w:rPr>
        <w:t>Conclusion</w:t>
      </w:r>
    </w:p>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ascii="Times New Roman" w:hAnsi="Times New Roman" w:eastAsia="宋体" w:cs="Times New Roman"/>
          <w:sz w:val="20"/>
          <w:szCs w:val="20"/>
          <w:lang w:val="en-US" w:eastAsia="zh-CN" w:bidi="ar-SA"/>
        </w:rPr>
      </w:pPr>
      <w:r>
        <w:rPr>
          <w:rFonts w:hint="eastAsia" w:ascii="Times New Roman" w:hAnsi="Times New Roman" w:eastAsia="Times New Roman" w:cs="Times New Roman"/>
          <w:sz w:val="20"/>
          <w:szCs w:val="20"/>
          <w:lang w:val="en-US" w:eastAsia="zh-CN" w:bidi="ar-SA"/>
        </w:rPr>
        <w:t xml:space="preserve">In this contribution, we provide our views on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宋体" w:cs="Times New Roman"/>
          <w:sz w:val="20"/>
          <w:szCs w:val="20"/>
          <w:lang w:val="en-US" w:eastAsia="zh-CN" w:bidi="ar-SA"/>
        </w:rPr>
        <w:t xml:space="preserve"> for NR mobility enhancements, and have the following proposals and suggested revisions. </w:t>
      </w:r>
    </w:p>
    <w:p>
      <w:pPr>
        <w:spacing w:before="137" w:beforeLines="50"/>
        <w:outlineLvl w:val="9"/>
        <w:rPr>
          <w:rFonts w:hint="eastAsia"/>
          <w:i/>
          <w:iCs w:val="0"/>
          <w:lang w:val="en-US" w:eastAsia="zh-CN"/>
        </w:rPr>
      </w:pPr>
      <w:r>
        <w:rPr>
          <w:b/>
          <w:i/>
          <w:iCs w:val="0"/>
          <w:lang w:val="en-GB" w:eastAsia="zh-CN"/>
        </w:rPr>
        <w:t xml:space="preserve">Proposal </w:t>
      </w:r>
      <w:r>
        <w:rPr>
          <w:rFonts w:hint="eastAsia"/>
          <w:b/>
          <w:i/>
          <w:iCs w:val="0"/>
          <w:lang w:val="en-US" w:eastAsia="zh-CN"/>
        </w:rPr>
        <w:t>1</w:t>
      </w:r>
      <w:r>
        <w:rPr>
          <w:i/>
          <w:iCs w:val="0"/>
          <w:lang w:val="en-GB" w:eastAsia="zh-CN"/>
        </w:rPr>
        <w:t>: Delete feature</w:t>
      </w:r>
      <w:r>
        <w:rPr>
          <w:rFonts w:hint="eastAsia"/>
          <w:i/>
          <w:iCs w:val="0"/>
          <w:lang w:val="en-US" w:eastAsia="zh-CN"/>
        </w:rPr>
        <w:t xml:space="preserve"> group</w:t>
      </w:r>
      <w:r>
        <w:rPr>
          <w:i/>
          <w:iCs w:val="0"/>
          <w:lang w:val="en-GB" w:eastAsia="zh-CN"/>
        </w:rPr>
        <w:t xml:space="preserve"> </w:t>
      </w:r>
      <w:r>
        <w:rPr>
          <w:rFonts w:hint="eastAsia"/>
          <w:i/>
          <w:iCs w:val="0"/>
          <w:lang w:val="en-US" w:eastAsia="zh-CN"/>
        </w:rPr>
        <w:t>21</w:t>
      </w:r>
      <w:r>
        <w:rPr>
          <w:i/>
          <w:iCs w:val="0"/>
          <w:lang w:val="en-GB" w:eastAsia="zh-CN"/>
        </w:rPr>
        <w:t>-</w:t>
      </w:r>
      <w:r>
        <w:rPr>
          <w:rFonts w:hint="eastAsia"/>
          <w:i/>
          <w:iCs w:val="0"/>
          <w:lang w:val="en-US" w:eastAsia="zh-CN"/>
        </w:rPr>
        <w:t>2</w:t>
      </w:r>
      <w:r>
        <w:rPr>
          <w:i/>
          <w:iCs w:val="0"/>
          <w:lang w:val="en-GB" w:eastAsia="zh-CN"/>
        </w:rPr>
        <w:t xml:space="preserve"> due to the duplication with 18-</w:t>
      </w:r>
      <w:r>
        <w:rPr>
          <w:rFonts w:hint="eastAsia"/>
          <w:i/>
          <w:iCs w:val="0"/>
          <w:lang w:val="en-US" w:eastAsia="zh-CN"/>
        </w:rPr>
        <w:t>1</w:t>
      </w:r>
      <w:r>
        <w:rPr>
          <w:rFonts w:hint="eastAsia" w:cs="Times New Roman"/>
          <w:b w:val="0"/>
          <w:i/>
          <w:iCs w:val="0"/>
          <w:caps w:val="0"/>
          <w:color w:val="000000"/>
          <w:spacing w:val="0"/>
          <w:sz w:val="20"/>
          <w:szCs w:val="20"/>
          <w:shd w:val="clear" w:fill="FFFFFF"/>
          <w:lang w:val="en-US" w:eastAsia="zh-CN"/>
        </w:rPr>
        <w:t>/1a/1b</w:t>
      </w:r>
      <w:r>
        <w:rPr>
          <w:i/>
          <w:iCs w:val="0"/>
          <w:lang w:val="en-GB" w:eastAsia="zh-CN"/>
        </w:rPr>
        <w:t>.</w:t>
      </w:r>
      <w:r>
        <w:rPr>
          <w:rFonts w:hint="eastAsia"/>
          <w:i/>
          <w:iCs w:val="0"/>
          <w:lang w:val="en-US" w:eastAsia="zh-CN"/>
        </w:rPr>
        <w:t xml:space="preserve"> </w:t>
      </w:r>
    </w:p>
    <w:p>
      <w:pPr>
        <w:spacing w:before="137" w:beforeLines="50"/>
        <w:outlineLvl w:val="9"/>
        <w:rPr>
          <w:rFonts w:hint="eastAsia"/>
          <w:i/>
          <w:iCs w:val="0"/>
          <w:lang w:val="en-US" w:eastAsia="zh-CN"/>
        </w:rPr>
      </w:pPr>
      <w:r>
        <w:rPr>
          <w:b/>
          <w:i/>
          <w:iCs w:val="0"/>
          <w:lang w:val="en-GB" w:eastAsia="zh-CN"/>
        </w:rPr>
        <w:t xml:space="preserve">Proposal </w:t>
      </w:r>
      <w:r>
        <w:rPr>
          <w:rFonts w:hint="eastAsia"/>
          <w:b/>
          <w:i/>
          <w:iCs w:val="0"/>
          <w:lang w:val="en-US" w:eastAsia="zh-CN"/>
        </w:rPr>
        <w:t>2</w:t>
      </w:r>
      <w:r>
        <w:rPr>
          <w:i/>
          <w:iCs w:val="0"/>
          <w:lang w:val="en-GB" w:eastAsia="zh-CN"/>
        </w:rPr>
        <w:t>: Delete feature</w:t>
      </w:r>
      <w:r>
        <w:rPr>
          <w:rFonts w:hint="eastAsia"/>
          <w:i/>
          <w:iCs w:val="0"/>
          <w:lang w:val="en-US" w:eastAsia="zh-CN"/>
        </w:rPr>
        <w:t xml:space="preserve"> group</w:t>
      </w:r>
      <w:r>
        <w:rPr>
          <w:i/>
          <w:iCs w:val="0"/>
          <w:lang w:val="en-GB" w:eastAsia="zh-CN"/>
        </w:rPr>
        <w:t xml:space="preserve"> </w:t>
      </w:r>
      <w:r>
        <w:rPr>
          <w:rFonts w:hint="eastAsia"/>
          <w:i/>
          <w:iCs w:val="0"/>
          <w:lang w:val="en-US" w:eastAsia="zh-CN"/>
        </w:rPr>
        <w:t>21</w:t>
      </w:r>
      <w:r>
        <w:rPr>
          <w:i/>
          <w:iCs w:val="0"/>
          <w:lang w:val="en-GB" w:eastAsia="zh-CN"/>
        </w:rPr>
        <w:t>-</w:t>
      </w:r>
      <w:r>
        <w:rPr>
          <w:rFonts w:hint="eastAsia"/>
          <w:i/>
          <w:iCs w:val="0"/>
          <w:lang w:val="en-US" w:eastAsia="zh-CN"/>
        </w:rPr>
        <w:t>2a</w:t>
      </w:r>
      <w:r>
        <w:rPr>
          <w:i/>
          <w:iCs w:val="0"/>
          <w:lang w:val="en-GB" w:eastAsia="zh-CN"/>
        </w:rPr>
        <w:t>.</w:t>
      </w:r>
      <w:r>
        <w:rPr>
          <w:rFonts w:hint="eastAsia"/>
          <w:i/>
          <w:iCs w:val="0"/>
          <w:lang w:val="en-US" w:eastAsia="zh-CN"/>
        </w:rPr>
        <w:t xml:space="preserve"> </w:t>
      </w:r>
    </w:p>
    <w:p>
      <w:pPr>
        <w:spacing w:before="137" w:beforeLines="50"/>
        <w:outlineLvl w:val="9"/>
        <w:rPr>
          <w:rFonts w:hint="eastAsia"/>
          <w:i/>
          <w:iCs w:val="0"/>
          <w:lang w:val="en-US" w:eastAsia="zh-CN"/>
        </w:rPr>
      </w:pPr>
    </w:p>
    <w:tbl>
      <w:tblPr>
        <w:tblStyle w:val="37"/>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55"/>
        <w:gridCol w:w="5208"/>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9145" w:type="dxa"/>
            <w:gridSpan w:val="4"/>
            <w:tcBorders>
              <w:top w:val="single" w:color="auto" w:sz="4" w:space="0"/>
              <w:left w:val="single" w:color="auto" w:sz="4" w:space="0"/>
              <w:bottom w:val="single" w:color="auto" w:sz="4" w:space="0"/>
              <w:right w:val="single" w:color="auto" w:sz="4" w:space="0"/>
            </w:tcBorders>
          </w:tcPr>
          <w:p>
            <w:pPr>
              <w:pStyle w:val="121"/>
              <w:ind w:left="0" w:leftChars="0" w:firstLine="0" w:firstLineChars="0"/>
              <w:rPr>
                <w:rFonts w:hint="default" w:ascii="Times New Roman" w:hAnsi="Times New Roman" w:eastAsia="Times New Roman" w:cs="Times New Roman"/>
                <w:b/>
                <w:sz w:val="18"/>
                <w:szCs w:val="18"/>
                <w:lang w:val="en-GB" w:eastAsia="ja-JP" w:bidi="ar-SA"/>
              </w:rPr>
            </w:pPr>
            <w:r>
              <w:rPr>
                <w:rFonts w:hint="eastAsia" w:ascii="Times New Roman" w:hAnsi="Times New Roman" w:eastAsia="Times New Roman" w:cs="Times New Roman"/>
                <w:b/>
                <w:i/>
                <w:iCs/>
                <w:sz w:val="18"/>
                <w:szCs w:val="22"/>
                <w:lang w:val="en-US" w:eastAsia="zh-CN" w:bidi="ar-SA"/>
              </w:rPr>
              <w:t xml:space="preserve">Suggested revision #1 on FG </w:t>
            </w:r>
            <w:r>
              <w:rPr>
                <w:rFonts w:hint="eastAsia" w:ascii="Times New Roman" w:hAnsi="Times New Roman" w:cs="Times New Roman"/>
                <w:b/>
                <w:i/>
                <w:iCs/>
                <w:sz w:val="18"/>
                <w:szCs w:val="22"/>
                <w:lang w:val="en-US" w:eastAsia="zh-CN" w:bidi="ar-SA"/>
              </w:rPr>
              <w:t>2</w:t>
            </w:r>
            <w:r>
              <w:rPr>
                <w:rFonts w:hint="eastAsia" w:ascii="Times New Roman" w:hAnsi="Times New Roman" w:eastAsia="Times New Roman" w:cs="Times New Roman"/>
                <w:b/>
                <w:i/>
                <w:iCs/>
                <w:sz w:val="18"/>
                <w:szCs w:val="22"/>
                <w:lang w:val="en-US" w:eastAsia="zh-CN" w:bidi="ar-SA"/>
              </w:rPr>
              <w:t>1-</w:t>
            </w:r>
            <w:r>
              <w:rPr>
                <w:rFonts w:hint="eastAsia" w:ascii="Times New Roman" w:hAnsi="Times New Roman" w:cs="Times New Roman"/>
                <w:b/>
                <w:i/>
                <w:iCs/>
                <w:sz w:val="18"/>
                <w:szCs w:val="22"/>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955"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5208"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2272" w:type="dxa"/>
            <w:tcBorders>
              <w:top w:val="single" w:color="auto" w:sz="4" w:space="0"/>
              <w:left w:val="single" w:color="auto" w:sz="4" w:space="0"/>
              <w:bottom w:val="single" w:color="auto" w:sz="4" w:space="0"/>
              <w:right w:val="single" w:color="auto" w:sz="4" w:space="0"/>
            </w:tcBorders>
            <w:vAlign w:val="top"/>
          </w:tcPr>
          <w:p>
            <w:pPr>
              <w:pStyle w:val="121"/>
              <w:ind w:left="0" w:firstLine="0"/>
              <w:jc w:val="center"/>
              <w:rPr>
                <w:rFonts w:hint="default" w:ascii="Times New Roman" w:hAnsi="Times New Roman" w:eastAsia="Times New Roman" w:cs="Times New Roman"/>
                <w:b/>
                <w:sz w:val="18"/>
                <w:szCs w:val="18"/>
                <w:lang w:val="en-GB" w:eastAsia="ja-JP" w:bidi="ar-SA"/>
              </w:rPr>
            </w:pPr>
            <w:r>
              <w:rPr>
                <w:rFonts w:hint="default" w:ascii="Times New Roman" w:hAnsi="Times New Roman" w:eastAsia="Times New Roman" w:cs="Times New Roman"/>
                <w:b/>
                <w:sz w:val="18"/>
                <w:szCs w:val="18"/>
                <w:lang w:val="en-GB" w:eastAsia="ja-JP" w:bidi="ar-SA"/>
              </w:rPr>
              <w:t>Type</w:t>
            </w:r>
          </w:p>
          <w:p>
            <w:pPr>
              <w:pStyle w:val="121"/>
              <w:ind w:left="0" w:leftChars="0" w:firstLine="0" w:firstLineChars="0"/>
              <w:jc w:val="center"/>
              <w:rPr>
                <w:rFonts w:hint="default" w:ascii="Times New Roman" w:hAnsi="Times New Roman" w:eastAsia="Times New Roman" w:cs="Times New Roman"/>
                <w:b/>
                <w:sz w:val="18"/>
                <w:szCs w:val="18"/>
                <w:lang w:val="en-GB" w:eastAsia="ja-JP" w:bidi="ar-SA"/>
              </w:rPr>
            </w:pPr>
            <w:r>
              <w:rPr>
                <w:rFonts w:hint="default" w:ascii="Times New Roman" w:hAnsi="Times New Roman" w:eastAsia="Times New Roman" w:cs="Times New Roman"/>
                <w:b/>
                <w:sz w:val="18"/>
                <w:szCs w:val="18"/>
                <w:lang w:val="en-GB" w:eastAsia="ja-JP" w:bidi="ar-SA"/>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cs="Times New Roman"/>
                <w:strike/>
                <w:dstrike w:val="0"/>
                <w:sz w:val="18"/>
                <w:szCs w:val="18"/>
                <w:lang w:eastAsia="ja-JP"/>
              </w:rPr>
            </w:pPr>
            <w:r>
              <w:rPr>
                <w:rFonts w:hint="default" w:ascii="Times New Roman" w:hAnsi="Times New Roman" w:cs="Times New Roman"/>
                <w:strike/>
                <w:dstrike w:val="0"/>
                <w:sz w:val="18"/>
                <w:szCs w:val="18"/>
                <w:lang w:eastAsia="ja-JP"/>
              </w:rPr>
              <w:t>21-1</w:t>
            </w:r>
          </w:p>
        </w:tc>
        <w:tc>
          <w:tcPr>
            <w:tcW w:w="955"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cs="Times New Roman"/>
                <w:strike/>
                <w:dstrike w:val="0"/>
                <w:sz w:val="18"/>
                <w:szCs w:val="18"/>
                <w:lang w:eastAsia="zh-CN"/>
              </w:rPr>
            </w:pPr>
            <w:r>
              <w:rPr>
                <w:rFonts w:hint="default" w:ascii="Times New Roman" w:hAnsi="Times New Roman" w:eastAsia="宋体" w:cs="Times New Roman"/>
                <w:strike/>
                <w:dstrike w:val="0"/>
                <w:sz w:val="18"/>
                <w:szCs w:val="18"/>
                <w:lang w:eastAsia="zh-CN"/>
              </w:rPr>
              <w:t>DAPS HO</w:t>
            </w:r>
          </w:p>
        </w:tc>
        <w:tc>
          <w:tcPr>
            <w:tcW w:w="5208"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cs="Times New Roman"/>
                <w:strike/>
                <w:dstrike w:val="0"/>
                <w:sz w:val="18"/>
                <w:szCs w:val="18"/>
                <w:lang w:eastAsia="zh-CN"/>
              </w:rPr>
            </w:pPr>
            <w:r>
              <w:rPr>
                <w:rFonts w:hint="default" w:ascii="Times New Roman" w:hAnsi="Times New Roman" w:cs="Times New Roman"/>
                <w:strike/>
                <w:dstrike w:val="0"/>
                <w:sz w:val="18"/>
                <w:szCs w:val="18"/>
                <w:lang w:eastAsia="zh-CN"/>
              </w:rPr>
              <w:t>For the Indicated support of  intra-frequency DAPS-HO for a given [band] and indicated support of inter-frequency DAPS-HO for a given [band combination].</w:t>
            </w:r>
          </w:p>
          <w:p>
            <w:pPr>
              <w:pStyle w:val="51"/>
              <w:rPr>
                <w:rFonts w:hint="default" w:ascii="Times New Roman" w:hAnsi="Times New Roman" w:cs="Times New Roman"/>
                <w:strike/>
                <w:dstrike w:val="0"/>
                <w:sz w:val="18"/>
                <w:szCs w:val="18"/>
                <w:lang w:eastAsia="zh-CN"/>
              </w:rPr>
            </w:pPr>
          </w:p>
          <w:p>
            <w:pPr>
              <w:pStyle w:val="51"/>
              <w:rPr>
                <w:rFonts w:hint="default" w:ascii="Times New Roman" w:hAnsi="Times New Roman" w:cs="Times New Roman"/>
                <w:strike/>
                <w:dstrike w:val="0"/>
                <w:sz w:val="18"/>
                <w:szCs w:val="18"/>
                <w:lang w:eastAsia="zh-CN"/>
              </w:rPr>
            </w:pPr>
            <w:r>
              <w:rPr>
                <w:rFonts w:hint="default" w:ascii="Times New Roman" w:hAnsi="Times New Roman" w:cs="Times New Roman"/>
                <w:strike/>
                <w:dstrike w:val="0"/>
                <w:sz w:val="18"/>
                <w:szCs w:val="18"/>
                <w:lang w:eastAsia="zh-CN"/>
              </w:rPr>
              <w:t>1) Indicates support of simultaneous DL reception of PDCCH and PDSCH from source and target cell in DAPS-HO</w:t>
            </w:r>
          </w:p>
          <w:p>
            <w:pPr>
              <w:pStyle w:val="51"/>
              <w:rPr>
                <w:rFonts w:hint="default" w:ascii="Times New Roman" w:hAnsi="Times New Roman" w:cs="Times New Roman"/>
                <w:strike/>
                <w:dstrike w:val="0"/>
                <w:sz w:val="18"/>
                <w:szCs w:val="18"/>
                <w:lang w:eastAsia="zh-CN"/>
              </w:rPr>
            </w:pPr>
          </w:p>
          <w:p>
            <w:pPr>
              <w:pStyle w:val="51"/>
              <w:rPr>
                <w:rFonts w:hint="default" w:ascii="Times New Roman" w:hAnsi="Times New Roman" w:cs="Times New Roman"/>
                <w:strike/>
                <w:dstrike w:val="0"/>
                <w:sz w:val="18"/>
                <w:szCs w:val="18"/>
                <w:lang w:eastAsia="zh-CN"/>
              </w:rPr>
            </w:pPr>
            <w:r>
              <w:rPr>
                <w:rFonts w:hint="default" w:ascii="Times New Roman" w:hAnsi="Times New Roman" w:cs="Times New Roman"/>
                <w:strike/>
                <w:dstrike w:val="0"/>
                <w:sz w:val="18"/>
                <w:szCs w:val="18"/>
                <w:lang w:eastAsia="zh-CN"/>
              </w:rPr>
              <w:t>2) Indicates support of PDCCH blind decoding capability in the first MCG and second MCG.</w:t>
            </w:r>
          </w:p>
        </w:tc>
        <w:tc>
          <w:tcPr>
            <w:tcW w:w="2272"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宋体" w:cs="Times New Roman"/>
                <w:strike/>
                <w:dstrike w:val="0"/>
                <w:sz w:val="18"/>
                <w:szCs w:val="18"/>
                <w:lang w:eastAsia="zh-CN"/>
              </w:rPr>
            </w:pPr>
            <w:r>
              <w:rPr>
                <w:rFonts w:hint="default" w:ascii="Times New Roman" w:hAnsi="Times New Roman" w:eastAsia="宋体" w:cs="Times New Roman"/>
                <w:strike/>
                <w:dstrike w:val="0"/>
                <w:sz w:val="18"/>
                <w:szCs w:val="18"/>
                <w:lang w:eastAsia="zh-CN"/>
              </w:rPr>
              <w:t>[Per BC]</w:t>
            </w:r>
          </w:p>
          <w:p>
            <w:pPr>
              <w:pStyle w:val="51"/>
              <w:rPr>
                <w:rFonts w:hint="default" w:ascii="Times New Roman" w:hAnsi="Times New Roman" w:cs="Times New Roman"/>
                <w:strike/>
                <w:dstrike w:val="0"/>
                <w:color w:val="FF0000"/>
                <w:sz w:val="18"/>
                <w:szCs w:val="18"/>
                <w:u w:val="singl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9"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leftChars="0" w:right="0" w:rightChars="0"/>
              <w:rPr>
                <w:rFonts w:hint="default" w:ascii="Times New Roman" w:hAnsi="Times New Roman" w:cs="Times New Roman"/>
                <w:color w:val="FF0000"/>
                <w:sz w:val="18"/>
                <w:szCs w:val="18"/>
                <w:u w:val="single"/>
                <w:lang w:eastAsia="ja-JP"/>
              </w:rPr>
            </w:pPr>
            <w:r>
              <w:rPr>
                <w:rFonts w:hint="default" w:ascii="Times New Roman" w:hAnsi="Times New Roman" w:cs="Times New Roman"/>
                <w:b w:val="0"/>
                <w:i w:val="0"/>
                <w:caps w:val="0"/>
                <w:color w:val="FF0000"/>
                <w:spacing w:val="0"/>
                <w:sz w:val="18"/>
                <w:szCs w:val="18"/>
                <w:u w:val="single"/>
              </w:rPr>
              <w:t>21-1a</w:t>
            </w:r>
          </w:p>
        </w:tc>
        <w:tc>
          <w:tcPr>
            <w:tcW w:w="955"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leftChars="0" w:right="0" w:rightChars="0"/>
              <w:rPr>
                <w:rFonts w:hint="default" w:ascii="Times New Roman" w:hAnsi="Times New Roman" w:cs="Times New Roman"/>
                <w:color w:val="FF0000"/>
                <w:sz w:val="18"/>
                <w:szCs w:val="18"/>
                <w:u w:val="single"/>
                <w:lang w:eastAsia="zh-CN"/>
              </w:rPr>
            </w:pPr>
            <w:r>
              <w:rPr>
                <w:rFonts w:hint="default" w:ascii="Times New Roman" w:hAnsi="Times New Roman" w:cs="Times New Roman"/>
                <w:b w:val="0"/>
                <w:i w:val="0"/>
                <w:caps w:val="0"/>
                <w:color w:val="FF0000"/>
                <w:spacing w:val="0"/>
                <w:sz w:val="18"/>
                <w:szCs w:val="18"/>
                <w:u w:val="single"/>
              </w:rPr>
              <w:t>Intra-frequency DAPS HO</w:t>
            </w:r>
          </w:p>
        </w:tc>
        <w:tc>
          <w:tcPr>
            <w:tcW w:w="5208"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Support of  intra-frequency DAPS-HO </w:t>
            </w:r>
          </w:p>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1) Support of simultaneous DL reception of PDCCH and PDSCH from source and target cell in DAPS-HO</w:t>
            </w:r>
          </w:p>
          <w:p>
            <w:pPr>
              <w:pStyle w:val="30"/>
              <w:keepNext w:val="0"/>
              <w:keepLines w:val="0"/>
              <w:widowControl/>
              <w:suppressLineNumbers w:val="0"/>
              <w:spacing w:before="0" w:beforeAutospacing="0" w:after="0" w:afterAutospacing="0" w:line="200" w:lineRule="atLeast"/>
              <w:ind w:left="0" w:right="0"/>
              <w:rPr>
                <w:color w:val="FF000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color w:val="FF0000"/>
                <w:sz w:val="18"/>
                <w:szCs w:val="18"/>
                <w:u w:val="single"/>
                <w:lang w:eastAsia="zh-CN"/>
              </w:rPr>
            </w:pPr>
            <w:r>
              <w:rPr>
                <w:rFonts w:hint="default" w:ascii="Times New Roman" w:hAnsi="Times New Roman" w:cs="Times New Roman"/>
                <w:b w:val="0"/>
                <w:i w:val="0"/>
                <w:caps w:val="0"/>
                <w:color w:val="FF0000"/>
                <w:spacing w:val="0"/>
                <w:sz w:val="18"/>
                <w:szCs w:val="18"/>
                <w:u w:val="single"/>
              </w:rPr>
              <w:t>2) Support of PDCCH blind decoding capability in the first MCG and second MCG.</w:t>
            </w:r>
          </w:p>
        </w:tc>
        <w:tc>
          <w:tcPr>
            <w:tcW w:w="2272"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leftChars="0" w:right="0" w:rightChars="0"/>
              <w:rPr>
                <w:rFonts w:hint="default" w:ascii="Times New Roman" w:hAnsi="Times New Roman" w:cs="Times New Roman"/>
                <w:color w:val="FF0000"/>
                <w:sz w:val="18"/>
                <w:szCs w:val="18"/>
                <w:u w:val="single"/>
                <w:lang w:val="en-US" w:eastAsia="ja-JP"/>
              </w:rPr>
            </w:pPr>
            <w:r>
              <w:rPr>
                <w:rFonts w:hint="default" w:ascii="Times New Roman" w:hAnsi="Times New Roman" w:cs="Times New Roman"/>
                <w:b w:val="0"/>
                <w:i w:val="0"/>
                <w:caps w:val="0"/>
                <w:color w:val="FF0000"/>
                <w:spacing w:val="0"/>
                <w:sz w:val="18"/>
                <w:szCs w:val="18"/>
                <w:u w:val="single"/>
              </w:rPr>
              <w:t>Per Band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9" w:hRule="atLeast"/>
        </w:trPr>
        <w:tc>
          <w:tcPr>
            <w:tcW w:w="710"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21-1b</w:t>
            </w:r>
          </w:p>
        </w:tc>
        <w:tc>
          <w:tcPr>
            <w:tcW w:w="955"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Inter-frequency DAPS HO</w:t>
            </w:r>
          </w:p>
        </w:tc>
        <w:tc>
          <w:tcPr>
            <w:tcW w:w="5208"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Support of  inter-frequency DAPS-HO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1) Support of simultaneous DL reception of PDCCH and PDSCH from source and target cell in DAPS-HO</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 </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2) Support of PDCCH blind decoding capability in the first MCG and second MCG.</w:t>
            </w:r>
          </w:p>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 </w:t>
            </w:r>
          </w:p>
        </w:tc>
        <w:tc>
          <w:tcPr>
            <w:tcW w:w="2272" w:type="dxa"/>
            <w:tcBorders>
              <w:top w:val="single" w:color="auto" w:sz="4" w:space="0"/>
              <w:left w:val="single" w:color="auto" w:sz="4" w:space="0"/>
              <w:bottom w:val="single" w:color="auto" w:sz="4" w:space="0"/>
              <w:right w:val="single" w:color="auto" w:sz="4" w:space="0"/>
            </w:tcBorders>
            <w:vAlign w:val="top"/>
          </w:tcPr>
          <w:p>
            <w:pPr>
              <w:pStyle w:val="30"/>
              <w:keepNext w:val="0"/>
              <w:keepLines w:val="0"/>
              <w:widowControl/>
              <w:suppressLineNumbers w:val="0"/>
              <w:spacing w:before="0" w:beforeAutospacing="0" w:after="0" w:afterAutospacing="0" w:line="200" w:lineRule="atLeast"/>
              <w:ind w:left="0" w:right="0"/>
              <w:rPr>
                <w:rFonts w:hint="default" w:ascii="Times New Roman" w:hAnsi="Times New Roman" w:cs="Times New Roman"/>
                <w:b w:val="0"/>
                <w:i w:val="0"/>
                <w:caps w:val="0"/>
                <w:color w:val="FF0000"/>
                <w:spacing w:val="0"/>
                <w:sz w:val="18"/>
                <w:szCs w:val="18"/>
                <w:u w:val="single"/>
              </w:rPr>
            </w:pPr>
            <w:r>
              <w:rPr>
                <w:rFonts w:hint="default" w:ascii="Times New Roman" w:hAnsi="Times New Roman" w:cs="Times New Roman"/>
                <w:b w:val="0"/>
                <w:i w:val="0"/>
                <w:caps w:val="0"/>
                <w:color w:val="FF0000"/>
                <w:spacing w:val="0"/>
                <w:sz w:val="18"/>
                <w:szCs w:val="18"/>
                <w:u w:val="single"/>
              </w:rPr>
              <w:t>Per BC</w:t>
            </w:r>
          </w:p>
        </w:tc>
      </w:tr>
    </w:tbl>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ascii="Times New Roman" w:hAnsi="Times New Roman" w:eastAsia="宋体" w:cs="Times New Roman"/>
          <w:sz w:val="20"/>
          <w:szCs w:val="20"/>
          <w:lang w:val="en-US" w:eastAsia="zh-CN" w:bidi="ar-SA"/>
        </w:rPr>
      </w:pPr>
      <w:bookmarkStart w:id="3" w:name="_GoBack"/>
      <w:bookmarkEnd w:id="3"/>
    </w:p>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ascii="Times New Roman" w:hAnsi="Times New Roman" w:eastAsia="宋体" w:cs="Times New Roman"/>
          <w:sz w:val="20"/>
          <w:szCs w:val="20"/>
          <w:lang w:val="en-US" w:eastAsia="zh-CN" w:bidi="ar-SA"/>
        </w:rPr>
      </w:pPr>
    </w:p>
    <w:tbl>
      <w:tblPr>
        <w:tblStyle w:val="37"/>
        <w:tblW w:w="9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1340"/>
        <w:gridCol w:w="4544"/>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9170" w:type="dxa"/>
            <w:gridSpan w:val="4"/>
            <w:tcBorders>
              <w:top w:val="single" w:color="auto" w:sz="4" w:space="0"/>
              <w:left w:val="single" w:color="auto" w:sz="4" w:space="0"/>
              <w:bottom w:val="single" w:color="auto" w:sz="4" w:space="0"/>
              <w:right w:val="single" w:color="auto" w:sz="4" w:space="0"/>
            </w:tcBorders>
          </w:tcPr>
          <w:p>
            <w:pPr>
              <w:pStyle w:val="121"/>
              <w:ind w:left="0" w:leftChars="0" w:firstLine="0" w:firstLineChars="0"/>
              <w:rPr>
                <w:rFonts w:hint="default" w:ascii="Times New Roman" w:hAnsi="Times New Roman" w:eastAsia="Times New Roman" w:cs="Times New Roman"/>
                <w:b/>
                <w:sz w:val="18"/>
                <w:szCs w:val="18"/>
                <w:lang w:val="en-US" w:eastAsia="ja-JP"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2</w:t>
            </w:r>
            <w:r>
              <w:rPr>
                <w:rFonts w:hint="eastAsia" w:ascii="Times New Roman" w:hAnsi="Times New Roman" w:eastAsia="Times New Roman" w:cs="Times New Roman"/>
                <w:b/>
                <w:i/>
                <w:iCs/>
                <w:sz w:val="18"/>
                <w:szCs w:val="22"/>
                <w:lang w:val="en-US" w:eastAsia="zh-CN" w:bidi="ar-SA"/>
              </w:rPr>
              <w:t xml:space="preserve"> on</w:t>
            </w:r>
            <w:r>
              <w:rPr>
                <w:rFonts w:hint="eastAsia" w:ascii="Times New Roman" w:hAnsi="Times New Roman" w:cs="Times New Roman"/>
                <w:b/>
                <w:i/>
                <w:iCs/>
                <w:sz w:val="18"/>
                <w:szCs w:val="22"/>
                <w:lang w:val="en-US" w:eastAsia="zh-CN" w:bidi="ar-SA"/>
              </w:rPr>
              <w:t xml:space="preserve"> </w:t>
            </w:r>
            <w:r>
              <w:rPr>
                <w:rFonts w:hint="eastAsia" w:ascii="Times New Roman" w:hAnsi="Times New Roman" w:eastAsia="Times New Roman" w:cs="Times New Roman"/>
                <w:b/>
                <w:i/>
                <w:iCs/>
                <w:sz w:val="18"/>
                <w:szCs w:val="22"/>
                <w:lang w:val="en-US" w:eastAsia="zh-CN" w:bidi="ar-SA"/>
              </w:rPr>
              <w:t xml:space="preserve">FG </w:t>
            </w:r>
            <w:r>
              <w:rPr>
                <w:rFonts w:hint="eastAsia" w:ascii="Times New Roman" w:hAnsi="Times New Roman" w:cs="Times New Roman"/>
                <w:b/>
                <w:i/>
                <w:iCs/>
                <w:sz w:val="18"/>
                <w:szCs w:val="22"/>
                <w:lang w:val="en-US" w:eastAsia="zh-CN" w:bidi="ar-SA"/>
              </w:rPr>
              <w:t>2</w:t>
            </w:r>
            <w:r>
              <w:rPr>
                <w:rFonts w:hint="eastAsia" w:ascii="Times New Roman" w:hAnsi="Times New Roman" w:eastAsia="Times New Roman" w:cs="Times New Roman"/>
                <w:b/>
                <w:i/>
                <w:iCs/>
                <w:sz w:val="18"/>
                <w:szCs w:val="22"/>
                <w:lang w:val="en-US" w:eastAsia="zh-CN" w:bidi="ar-SA"/>
              </w:rPr>
              <w:t>1-</w:t>
            </w:r>
            <w:r>
              <w:rPr>
                <w:rFonts w:hint="eastAsia" w:ascii="Times New Roman" w:hAnsi="Times New Roman" w:cs="Times New Roman"/>
                <w:b/>
                <w:i/>
                <w:iCs/>
                <w:sz w:val="18"/>
                <w:szCs w:val="22"/>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trPr>
        <w:tc>
          <w:tcPr>
            <w:tcW w:w="878"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1340"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4544" w:type="dxa"/>
            <w:tcBorders>
              <w:top w:val="single" w:color="auto" w:sz="4" w:space="0"/>
              <w:left w:val="single" w:color="auto" w:sz="4" w:space="0"/>
              <w:bottom w:val="single" w:color="auto" w:sz="4" w:space="0"/>
              <w:right w:val="single" w:color="auto" w:sz="4" w:space="0"/>
            </w:tcBorders>
            <w:vAlign w:val="top"/>
          </w:tcPr>
          <w:p>
            <w:pPr>
              <w:pStyle w:val="67"/>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2408" w:type="dxa"/>
            <w:tcBorders>
              <w:top w:val="single" w:color="auto" w:sz="4" w:space="0"/>
              <w:left w:val="single" w:color="auto" w:sz="4" w:space="0"/>
              <w:bottom w:val="single" w:color="auto" w:sz="4" w:space="0"/>
              <w:right w:val="single" w:color="auto" w:sz="4" w:space="0"/>
            </w:tcBorders>
            <w:vAlign w:val="top"/>
          </w:tcPr>
          <w:p>
            <w:pPr>
              <w:pStyle w:val="121"/>
              <w:ind w:left="0" w:firstLine="0"/>
              <w:jc w:val="center"/>
              <w:rPr>
                <w:rFonts w:hint="default" w:ascii="Times New Roman" w:hAnsi="Times New Roman" w:eastAsia="Times New Roman" w:cs="Times New Roman"/>
                <w:b/>
                <w:sz w:val="18"/>
                <w:szCs w:val="18"/>
                <w:lang w:val="en-GB" w:eastAsia="ja-JP" w:bidi="ar-SA"/>
              </w:rPr>
            </w:pPr>
            <w:r>
              <w:rPr>
                <w:rFonts w:hint="default" w:ascii="Times New Roman" w:hAnsi="Times New Roman" w:eastAsia="Times New Roman" w:cs="Times New Roman"/>
                <w:b/>
                <w:sz w:val="18"/>
                <w:szCs w:val="18"/>
                <w:lang w:val="en-GB" w:eastAsia="ja-JP" w:bidi="ar-SA"/>
              </w:rPr>
              <w:t>Type</w:t>
            </w:r>
          </w:p>
          <w:p>
            <w:pPr>
              <w:pStyle w:val="121"/>
              <w:ind w:left="0" w:leftChars="0" w:firstLine="0" w:firstLineChars="0"/>
              <w:jc w:val="center"/>
              <w:rPr>
                <w:rFonts w:hint="default" w:ascii="Times New Roman" w:hAnsi="Times New Roman" w:eastAsia="宋体" w:cs="Times New Roman"/>
                <w:b/>
                <w:sz w:val="18"/>
                <w:szCs w:val="18"/>
                <w:lang w:val="en-US" w:eastAsia="zh-CN" w:bidi="ar-SA"/>
              </w:rPr>
            </w:pPr>
            <w:r>
              <w:rPr>
                <w:rFonts w:hint="default" w:ascii="Times New Roman" w:hAnsi="Times New Roman" w:eastAsia="Times New Roman" w:cs="Times New Roman"/>
                <w:b/>
                <w:sz w:val="18"/>
                <w:szCs w:val="18"/>
                <w:lang w:val="en-GB" w:eastAsia="ja-JP" w:bidi="ar-SA"/>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878"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ja-JP" w:bidi="ar-SA"/>
              </w:rPr>
              <w:t>21-3</w:t>
            </w:r>
          </w:p>
        </w:tc>
        <w:tc>
          <w:tcPr>
            <w:tcW w:w="1340"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zh-CN" w:bidi="ar-SA"/>
              </w:rPr>
              <w:t>PDCCH blind detection for MCG1 and MCG2</w:t>
            </w:r>
          </w:p>
        </w:tc>
        <w:tc>
          <w:tcPr>
            <w:tcW w:w="4544"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zh-CN" w:bidi="ar-SA"/>
              </w:rPr>
            </w:pPr>
            <w:r>
              <w:rPr>
                <w:rFonts w:hint="default" w:ascii="Times New Roman" w:hAnsi="Times New Roman" w:eastAsia="Times New Roman" w:cs="Times New Roman"/>
                <w:sz w:val="18"/>
                <w:szCs w:val="18"/>
                <w:lang w:val="en-US" w:eastAsia="zh-CN" w:bidi="ar-SA"/>
              </w:rPr>
              <w:t>Indicates PDCCH blind decoding capability supported in the first MCG (intended for target cell in HO) and second MCG (intended for source cell in HO) when in DAPS-HO. Value range for both cells should be {1, …, 15}.</w:t>
            </w:r>
          </w:p>
        </w:tc>
        <w:tc>
          <w:tcPr>
            <w:tcW w:w="2408" w:type="dxa"/>
            <w:tcBorders>
              <w:top w:val="single" w:color="auto" w:sz="4" w:space="0"/>
              <w:left w:val="single" w:color="auto" w:sz="4" w:space="0"/>
              <w:bottom w:val="single" w:color="auto" w:sz="4" w:space="0"/>
              <w:right w:val="single" w:color="auto" w:sz="4" w:space="0"/>
            </w:tcBorders>
            <w:vAlign w:val="top"/>
          </w:tcPr>
          <w:p>
            <w:pPr>
              <w:pStyle w:val="51"/>
              <w:rPr>
                <w:rFonts w:hint="default" w:ascii="Times New Roman" w:hAnsi="Times New Roman" w:eastAsia="Times New Roman" w:cs="Times New Roman"/>
                <w:sz w:val="18"/>
                <w:szCs w:val="18"/>
                <w:lang w:val="en-US" w:eastAsia="ja-JP" w:bidi="ar-SA"/>
              </w:rPr>
            </w:pPr>
            <w:r>
              <w:rPr>
                <w:rFonts w:hint="default" w:ascii="Times New Roman" w:hAnsi="Times New Roman" w:eastAsia="Times New Roman" w:cs="Times New Roman"/>
                <w:strike/>
                <w:dstrike w:val="0"/>
                <w:color w:val="FF0000"/>
                <w:sz w:val="18"/>
                <w:szCs w:val="18"/>
                <w:lang w:val="en-US" w:eastAsia="zh-CN" w:bidi="ar-SA"/>
              </w:rPr>
              <w:t>[</w:t>
            </w:r>
            <w:r>
              <w:rPr>
                <w:rFonts w:hint="default" w:ascii="Times New Roman" w:hAnsi="Times New Roman" w:eastAsia="Times New Roman" w:cs="Times New Roman"/>
                <w:sz w:val="18"/>
                <w:szCs w:val="18"/>
                <w:lang w:val="en-US" w:eastAsia="zh-CN" w:bidi="ar-SA"/>
              </w:rPr>
              <w:t>Per UE</w:t>
            </w:r>
            <w:r>
              <w:rPr>
                <w:rFonts w:hint="default" w:ascii="Times New Roman" w:hAnsi="Times New Roman" w:eastAsia="Times New Roman" w:cs="Times New Roman"/>
                <w:strike/>
                <w:dstrike w:val="0"/>
                <w:color w:val="FF0000"/>
                <w:sz w:val="18"/>
                <w:szCs w:val="18"/>
                <w:lang w:val="en-US" w:eastAsia="zh-CN" w:bidi="ar-SA"/>
              </w:rPr>
              <w:t>]</w:t>
            </w:r>
          </w:p>
        </w:tc>
      </w:tr>
    </w:tbl>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ascii="Times New Roman" w:hAnsi="Times New Roman" w:eastAsia="宋体" w:cs="Times New Roman"/>
          <w:sz w:val="20"/>
          <w:szCs w:val="20"/>
          <w:lang w:val="en-US" w:eastAsia="zh-CN" w:bidi="ar-SA"/>
        </w:rPr>
      </w:pPr>
    </w:p>
    <w:p>
      <w:pPr>
        <w:pStyle w:val="2"/>
        <w:bidi w:val="0"/>
        <w:rPr>
          <w:rFonts w:hint="eastAsia"/>
          <w:lang w:val="en-US" w:eastAsia="zh-CN"/>
        </w:rPr>
      </w:pPr>
      <w:r>
        <w:rPr>
          <w:rFonts w:hint="eastAsia"/>
          <w:lang w:val="en-US" w:eastAsia="zh-CN"/>
        </w:rPr>
        <w:t>Reference</w:t>
      </w:r>
    </w:p>
    <w:p>
      <w:pPr>
        <w:numPr>
          <w:ilvl w:val="0"/>
          <w:numId w:val="4"/>
        </w:numPr>
        <w:bidi w:val="0"/>
        <w:rPr>
          <w:rFonts w:hint="default"/>
          <w:lang w:val="en-US" w:eastAsia="zh-CN"/>
        </w:rPr>
      </w:pPr>
      <w:bookmarkStart w:id="2" w:name="_Ref427157992"/>
      <w:r>
        <w:rPr>
          <w:lang w:val="en-US" w:eastAsia="zh-CN"/>
        </w:rPr>
        <w:t>3</w:t>
      </w:r>
      <w:bookmarkEnd w:id="2"/>
      <w:r>
        <w:rPr>
          <w:lang w:val="en-US" w:eastAsia="zh-CN"/>
        </w:rPr>
        <w:t>GPP RAN1 #</w:t>
      </w:r>
      <w:r>
        <w:rPr>
          <w:rFonts w:hint="eastAsia"/>
          <w:lang w:val="en-US" w:eastAsia="zh-CN"/>
        </w:rPr>
        <w:t>100-e meeting</w:t>
      </w:r>
      <w:r>
        <w:rPr>
          <w:lang w:val="en-US" w:eastAsia="zh-CN"/>
        </w:rPr>
        <w:t xml:space="preserve">, </w:t>
      </w:r>
      <w:r>
        <w:rPr>
          <w:lang w:val="en-US" w:eastAsia="en-US"/>
        </w:rPr>
        <w:t>R1-2000930</w:t>
      </w:r>
      <w:r>
        <w:rPr>
          <w:rFonts w:hint="eastAsia"/>
          <w:lang w:val="en-US" w:eastAsia="zh-CN"/>
        </w:rPr>
        <w:t xml:space="preserve">, </w:t>
      </w:r>
      <w:r>
        <w:rPr>
          <w:lang w:val="en-US" w:eastAsia="en-US"/>
        </w:rPr>
        <w:t>RAN1 UE features list for Rel-16 NR</w:t>
      </w:r>
      <w:r>
        <w:rPr>
          <w:rFonts w:hint="eastAsia"/>
          <w:lang w:val="en-US" w:eastAsia="zh-CN"/>
        </w:rPr>
        <w:t xml:space="preserve">, </w:t>
      </w:r>
      <w:r>
        <w:rPr>
          <w:lang w:val="en-US" w:eastAsia="en-US"/>
        </w:rPr>
        <w:t>AT&amp;T, NTT DOCOMO, INC.</w:t>
      </w:r>
    </w:p>
    <w:p>
      <w:pPr>
        <w:numPr>
          <w:ilvl w:val="0"/>
          <w:numId w:val="4"/>
        </w:numPr>
        <w:bidi w:val="0"/>
        <w:rPr>
          <w:rFonts w:hint="default"/>
          <w:lang w:val="en-US" w:eastAsia="zh-CN"/>
        </w:rPr>
      </w:pPr>
      <w:r>
        <w:rPr>
          <w:lang w:val="en-US" w:eastAsia="zh-CN"/>
        </w:rPr>
        <w:t>3GPP R</w:t>
      </w:r>
      <w:r>
        <w:rPr>
          <w:rFonts w:hint="eastAsia"/>
          <w:sz w:val="20"/>
          <w:szCs w:val="21"/>
          <w:lang w:val="en-US" w:eastAsia="zh-CN"/>
        </w:rPr>
        <w:t xml:space="preserve">AN1 #100-e meeting, </w:t>
      </w:r>
      <w:r>
        <w:rPr>
          <w:rFonts w:hint="eastAsia" w:eastAsia="宋体" w:cs="Times New Roman"/>
          <w:sz w:val="20"/>
          <w:szCs w:val="20"/>
          <w:lang w:val="en-US" w:eastAsia="zh-CN" w:bidi="ar-SA"/>
        </w:rPr>
        <w:t>R1-2001484</w:t>
      </w:r>
      <w:r>
        <w:rPr>
          <w:rFonts w:hint="eastAsia"/>
          <w:sz w:val="20"/>
          <w:szCs w:val="21"/>
          <w:lang w:val="en-US" w:eastAsia="zh-CN"/>
        </w:rPr>
        <w:t xml:space="preserve">, </w:t>
      </w:r>
      <w:r>
        <w:rPr>
          <w:rFonts w:hint="eastAsia"/>
          <w:sz w:val="20"/>
          <w:szCs w:val="21"/>
          <w:lang w:val="en-US" w:eastAsia="en-US"/>
        </w:rPr>
        <w:t>RAN1 UE features list for Rel-16 NR after RAN1#100-E</w:t>
      </w:r>
      <w:r>
        <w:rPr>
          <w:rFonts w:hint="eastAsia"/>
          <w:sz w:val="20"/>
          <w:szCs w:val="21"/>
          <w:lang w:val="en-US" w:eastAsia="zh-CN"/>
        </w:rPr>
        <w:t xml:space="preserve">, </w:t>
      </w:r>
      <w:r>
        <w:rPr>
          <w:rFonts w:hint="eastAsia"/>
          <w:sz w:val="20"/>
          <w:szCs w:val="21"/>
          <w:lang w:val="en-US" w:eastAsia="en-US"/>
        </w:rPr>
        <w:t>AT&amp;T, NTT DOCOMO, INC.</w:t>
      </w:r>
    </w:p>
    <w:p>
      <w:pPr>
        <w:numPr>
          <w:ilvl w:val="0"/>
          <w:numId w:val="4"/>
        </w:numPr>
        <w:bidi w:val="0"/>
        <w:rPr>
          <w:rFonts w:hint="default"/>
          <w:lang w:val="en-US" w:eastAsia="zh-CN"/>
        </w:rPr>
      </w:pPr>
      <w:r>
        <w:rPr>
          <w:lang w:val="en-US" w:eastAsia="zh-CN"/>
        </w:rPr>
        <w:t>3GPP</w:t>
      </w:r>
      <w:r>
        <w:rPr>
          <w:rFonts w:hint="eastAsia"/>
          <w:lang w:val="en-US" w:eastAsia="zh-CN"/>
        </w:rPr>
        <w:t xml:space="preserve"> </w:t>
      </w:r>
      <w:r>
        <w:rPr>
          <w:lang w:val="en-US" w:eastAsia="zh-CN"/>
        </w:rPr>
        <w:t>RAN #</w:t>
      </w:r>
      <w:r>
        <w:rPr>
          <w:rFonts w:hint="eastAsia"/>
          <w:lang w:val="en-US" w:eastAsia="zh-CN"/>
        </w:rPr>
        <w:t xml:space="preserve">87-e meeting, </w:t>
      </w:r>
      <w:r>
        <w:rPr>
          <w:lang w:val="en-US" w:eastAsia="zh-CN"/>
        </w:rPr>
        <w:t>RP-200502</w:t>
      </w:r>
      <w:r>
        <w:rPr>
          <w:rFonts w:hint="eastAsia"/>
          <w:lang w:val="en-US" w:eastAsia="zh-CN"/>
        </w:rPr>
        <w:t xml:space="preserve">, </w:t>
      </w:r>
      <w:r>
        <w:rPr>
          <w:lang w:val="en-US" w:eastAsia="zh-CN"/>
        </w:rPr>
        <w:t>Informational summary on email discussion: 3GPP TSG RAN #</w:t>
      </w:r>
      <w:r>
        <w:rPr>
          <w:rFonts w:hint="eastAsia"/>
          <w:lang w:val="en-US" w:eastAsia="zh-CN"/>
        </w:rPr>
        <w:t>87-e</w:t>
      </w:r>
      <w:r>
        <w:rPr>
          <w:lang w:val="en-US" w:eastAsia="zh-CN"/>
        </w:rPr>
        <w:t>[Rel16_UE_capabilities] Exchange of views</w:t>
      </w:r>
      <w:r>
        <w:rPr>
          <w:rFonts w:hint="eastAsia"/>
          <w:lang w:val="en-US" w:eastAsia="zh-CN"/>
        </w:rPr>
        <w:t xml:space="preserve">, </w:t>
      </w:r>
      <w:r>
        <w:rPr>
          <w:lang w:val="en-US" w:eastAsia="zh-CN"/>
        </w:rPr>
        <w:t xml:space="preserve">NTT </w:t>
      </w:r>
      <w:r>
        <w:rPr>
          <w:rFonts w:hint="eastAsia"/>
          <w:lang w:val="en-US" w:eastAsia="zh-CN"/>
        </w:rPr>
        <w:t>DOCOMO</w:t>
      </w:r>
      <w:r>
        <w:rPr>
          <w:rFonts w:hint="eastAsia"/>
          <w:lang w:val="en-US" w:eastAsia="ja-JP"/>
        </w:rPr>
        <w:t>, INC</w:t>
      </w:r>
      <w:r>
        <w:rPr>
          <w:rFonts w:hint="eastAsia" w:eastAsia="宋体"/>
          <w:lang w:val="en-US" w:eastAsia="zh-CN"/>
        </w:rPr>
        <w:t>.</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1BEF63"/>
    <w:multiLevelType w:val="singleLevel"/>
    <w:tmpl w:val="A71BEF63"/>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3">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B8D"/>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60D"/>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CAE"/>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2E683A"/>
    <w:rsid w:val="01623DF4"/>
    <w:rsid w:val="0164403D"/>
    <w:rsid w:val="016A2D60"/>
    <w:rsid w:val="0187514E"/>
    <w:rsid w:val="0195524F"/>
    <w:rsid w:val="01D74EB5"/>
    <w:rsid w:val="01E376C5"/>
    <w:rsid w:val="01F04C32"/>
    <w:rsid w:val="01F93655"/>
    <w:rsid w:val="02021BB6"/>
    <w:rsid w:val="021E7A31"/>
    <w:rsid w:val="02223535"/>
    <w:rsid w:val="02536DBD"/>
    <w:rsid w:val="026E0645"/>
    <w:rsid w:val="027149AA"/>
    <w:rsid w:val="029D6CC8"/>
    <w:rsid w:val="02A62B42"/>
    <w:rsid w:val="02AE2102"/>
    <w:rsid w:val="02B437DC"/>
    <w:rsid w:val="02D70CDD"/>
    <w:rsid w:val="02E55162"/>
    <w:rsid w:val="02EB1A31"/>
    <w:rsid w:val="0306050F"/>
    <w:rsid w:val="0314180D"/>
    <w:rsid w:val="032646E9"/>
    <w:rsid w:val="032832F7"/>
    <w:rsid w:val="03427EAF"/>
    <w:rsid w:val="03444BA9"/>
    <w:rsid w:val="035F1C72"/>
    <w:rsid w:val="03914DF6"/>
    <w:rsid w:val="03AD34FD"/>
    <w:rsid w:val="03B1471C"/>
    <w:rsid w:val="03B97B8A"/>
    <w:rsid w:val="041E195A"/>
    <w:rsid w:val="04447C19"/>
    <w:rsid w:val="045140EF"/>
    <w:rsid w:val="04676AA9"/>
    <w:rsid w:val="0469222B"/>
    <w:rsid w:val="047B0CB5"/>
    <w:rsid w:val="04855E9F"/>
    <w:rsid w:val="048B2CD8"/>
    <w:rsid w:val="048F2D8D"/>
    <w:rsid w:val="0495477A"/>
    <w:rsid w:val="04A3497F"/>
    <w:rsid w:val="04B478BC"/>
    <w:rsid w:val="04C21F07"/>
    <w:rsid w:val="04CB6EE5"/>
    <w:rsid w:val="04D46D9A"/>
    <w:rsid w:val="04D6453F"/>
    <w:rsid w:val="04DE21BA"/>
    <w:rsid w:val="04E954F9"/>
    <w:rsid w:val="04F91B2D"/>
    <w:rsid w:val="05103C59"/>
    <w:rsid w:val="058B1B5A"/>
    <w:rsid w:val="059458BD"/>
    <w:rsid w:val="05A10C09"/>
    <w:rsid w:val="05B11E5B"/>
    <w:rsid w:val="05BD29B3"/>
    <w:rsid w:val="05C83981"/>
    <w:rsid w:val="05C91534"/>
    <w:rsid w:val="05E8312B"/>
    <w:rsid w:val="05EC78F9"/>
    <w:rsid w:val="061A428C"/>
    <w:rsid w:val="062625A1"/>
    <w:rsid w:val="062E0E63"/>
    <w:rsid w:val="064F66F0"/>
    <w:rsid w:val="066375CC"/>
    <w:rsid w:val="06690485"/>
    <w:rsid w:val="06704A18"/>
    <w:rsid w:val="068A0138"/>
    <w:rsid w:val="069731D1"/>
    <w:rsid w:val="06BD2CCF"/>
    <w:rsid w:val="06D56F26"/>
    <w:rsid w:val="06D767B9"/>
    <w:rsid w:val="06D9451B"/>
    <w:rsid w:val="06D96BBE"/>
    <w:rsid w:val="06E441FD"/>
    <w:rsid w:val="06F22BA8"/>
    <w:rsid w:val="06F51DB4"/>
    <w:rsid w:val="0711734E"/>
    <w:rsid w:val="071F5EC0"/>
    <w:rsid w:val="07245592"/>
    <w:rsid w:val="07291B8B"/>
    <w:rsid w:val="074A539A"/>
    <w:rsid w:val="07811C6E"/>
    <w:rsid w:val="078C2C70"/>
    <w:rsid w:val="07AA7835"/>
    <w:rsid w:val="080F52AC"/>
    <w:rsid w:val="081437EE"/>
    <w:rsid w:val="081D1A74"/>
    <w:rsid w:val="082C0405"/>
    <w:rsid w:val="08436133"/>
    <w:rsid w:val="086211CC"/>
    <w:rsid w:val="08695C26"/>
    <w:rsid w:val="086B53B3"/>
    <w:rsid w:val="08701B23"/>
    <w:rsid w:val="08793CCA"/>
    <w:rsid w:val="0882388F"/>
    <w:rsid w:val="08B51B72"/>
    <w:rsid w:val="08BE728B"/>
    <w:rsid w:val="08CD1299"/>
    <w:rsid w:val="090F3C3F"/>
    <w:rsid w:val="092F685F"/>
    <w:rsid w:val="09324EA3"/>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07026"/>
    <w:rsid w:val="0A284254"/>
    <w:rsid w:val="0A4021B5"/>
    <w:rsid w:val="0A5A0CCD"/>
    <w:rsid w:val="0A5B723D"/>
    <w:rsid w:val="0A8D18B2"/>
    <w:rsid w:val="0A98160E"/>
    <w:rsid w:val="0A99506A"/>
    <w:rsid w:val="0A9D2901"/>
    <w:rsid w:val="0AAB47D2"/>
    <w:rsid w:val="0ABD3ED5"/>
    <w:rsid w:val="0ABF3951"/>
    <w:rsid w:val="0AD03DDD"/>
    <w:rsid w:val="0AEF34AD"/>
    <w:rsid w:val="0B0E0548"/>
    <w:rsid w:val="0B0E110D"/>
    <w:rsid w:val="0B1D2FF7"/>
    <w:rsid w:val="0B3365C3"/>
    <w:rsid w:val="0B4308FD"/>
    <w:rsid w:val="0B431971"/>
    <w:rsid w:val="0B5335F7"/>
    <w:rsid w:val="0B5E6855"/>
    <w:rsid w:val="0B6C0983"/>
    <w:rsid w:val="0B743E22"/>
    <w:rsid w:val="0B94314E"/>
    <w:rsid w:val="0B952B7C"/>
    <w:rsid w:val="0BB25E0A"/>
    <w:rsid w:val="0BBD3D04"/>
    <w:rsid w:val="0BBE3C20"/>
    <w:rsid w:val="0BF75F78"/>
    <w:rsid w:val="0BFD0200"/>
    <w:rsid w:val="0C1D146E"/>
    <w:rsid w:val="0C29592D"/>
    <w:rsid w:val="0C2C24AF"/>
    <w:rsid w:val="0C377CDD"/>
    <w:rsid w:val="0C5D4AAD"/>
    <w:rsid w:val="0C780B79"/>
    <w:rsid w:val="0C7D78E9"/>
    <w:rsid w:val="0C817F27"/>
    <w:rsid w:val="0C88343C"/>
    <w:rsid w:val="0CA56AF0"/>
    <w:rsid w:val="0CBA436B"/>
    <w:rsid w:val="0CC65AFD"/>
    <w:rsid w:val="0CCC39BF"/>
    <w:rsid w:val="0CCC4B3F"/>
    <w:rsid w:val="0CDD138A"/>
    <w:rsid w:val="0CE31AFF"/>
    <w:rsid w:val="0CE526B3"/>
    <w:rsid w:val="0CED2DBC"/>
    <w:rsid w:val="0D042712"/>
    <w:rsid w:val="0D0E2933"/>
    <w:rsid w:val="0D132D1C"/>
    <w:rsid w:val="0D175B09"/>
    <w:rsid w:val="0D4221D1"/>
    <w:rsid w:val="0D4E6418"/>
    <w:rsid w:val="0D55085B"/>
    <w:rsid w:val="0D73495B"/>
    <w:rsid w:val="0D767560"/>
    <w:rsid w:val="0D9C4D64"/>
    <w:rsid w:val="0D9E7869"/>
    <w:rsid w:val="0DB7254D"/>
    <w:rsid w:val="0DC93D9A"/>
    <w:rsid w:val="0DCB1EEE"/>
    <w:rsid w:val="0DDA5438"/>
    <w:rsid w:val="0DDE1DBA"/>
    <w:rsid w:val="0E0F567A"/>
    <w:rsid w:val="0E135CB6"/>
    <w:rsid w:val="0E140D66"/>
    <w:rsid w:val="0E171B0E"/>
    <w:rsid w:val="0E1C4855"/>
    <w:rsid w:val="0E284A8F"/>
    <w:rsid w:val="0E311C35"/>
    <w:rsid w:val="0E463BF7"/>
    <w:rsid w:val="0E625BE5"/>
    <w:rsid w:val="0E7146DA"/>
    <w:rsid w:val="0E795C87"/>
    <w:rsid w:val="0E8C5CCB"/>
    <w:rsid w:val="0E8D7FB3"/>
    <w:rsid w:val="0ED07CF2"/>
    <w:rsid w:val="0EE76F39"/>
    <w:rsid w:val="0EF90794"/>
    <w:rsid w:val="0F1A1BAB"/>
    <w:rsid w:val="0F3A6334"/>
    <w:rsid w:val="0F896791"/>
    <w:rsid w:val="0FBD385E"/>
    <w:rsid w:val="0FCC5F2C"/>
    <w:rsid w:val="0FD60E0E"/>
    <w:rsid w:val="0FDD4EEE"/>
    <w:rsid w:val="0FE353A5"/>
    <w:rsid w:val="102F11E2"/>
    <w:rsid w:val="104E4A64"/>
    <w:rsid w:val="105D13C1"/>
    <w:rsid w:val="106A17A4"/>
    <w:rsid w:val="106B797F"/>
    <w:rsid w:val="10B14313"/>
    <w:rsid w:val="10B776CF"/>
    <w:rsid w:val="10DB0B79"/>
    <w:rsid w:val="10DE38F5"/>
    <w:rsid w:val="111A6C63"/>
    <w:rsid w:val="1130448C"/>
    <w:rsid w:val="1136212B"/>
    <w:rsid w:val="114617FE"/>
    <w:rsid w:val="11595CDE"/>
    <w:rsid w:val="117A3248"/>
    <w:rsid w:val="11835746"/>
    <w:rsid w:val="1195633E"/>
    <w:rsid w:val="11B701CD"/>
    <w:rsid w:val="11D972EE"/>
    <w:rsid w:val="11F03717"/>
    <w:rsid w:val="12085C20"/>
    <w:rsid w:val="123922F2"/>
    <w:rsid w:val="123C639F"/>
    <w:rsid w:val="123E1840"/>
    <w:rsid w:val="125104D9"/>
    <w:rsid w:val="126803A3"/>
    <w:rsid w:val="12724391"/>
    <w:rsid w:val="127432EE"/>
    <w:rsid w:val="12777C62"/>
    <w:rsid w:val="12967F5C"/>
    <w:rsid w:val="12B5686A"/>
    <w:rsid w:val="12E9532A"/>
    <w:rsid w:val="12F46528"/>
    <w:rsid w:val="12F47D71"/>
    <w:rsid w:val="13084F59"/>
    <w:rsid w:val="1314693C"/>
    <w:rsid w:val="13192BB5"/>
    <w:rsid w:val="133505A5"/>
    <w:rsid w:val="1347637A"/>
    <w:rsid w:val="13580386"/>
    <w:rsid w:val="13626F7B"/>
    <w:rsid w:val="13712629"/>
    <w:rsid w:val="137C5099"/>
    <w:rsid w:val="13D8065C"/>
    <w:rsid w:val="13EE12BE"/>
    <w:rsid w:val="13EF3260"/>
    <w:rsid w:val="142A7D52"/>
    <w:rsid w:val="142D56CE"/>
    <w:rsid w:val="143D763E"/>
    <w:rsid w:val="144F64AA"/>
    <w:rsid w:val="146E0C97"/>
    <w:rsid w:val="146F1C00"/>
    <w:rsid w:val="14713156"/>
    <w:rsid w:val="147A3455"/>
    <w:rsid w:val="148656B3"/>
    <w:rsid w:val="148B11CF"/>
    <w:rsid w:val="14AA0588"/>
    <w:rsid w:val="14BB65D7"/>
    <w:rsid w:val="14C0438E"/>
    <w:rsid w:val="15174763"/>
    <w:rsid w:val="153322FD"/>
    <w:rsid w:val="153C3075"/>
    <w:rsid w:val="1591534A"/>
    <w:rsid w:val="15BA22F5"/>
    <w:rsid w:val="15C33508"/>
    <w:rsid w:val="15CB01DE"/>
    <w:rsid w:val="15E36279"/>
    <w:rsid w:val="15FC525B"/>
    <w:rsid w:val="1609578C"/>
    <w:rsid w:val="160A5D29"/>
    <w:rsid w:val="160F2DEB"/>
    <w:rsid w:val="161237B4"/>
    <w:rsid w:val="162D44E8"/>
    <w:rsid w:val="162E624F"/>
    <w:rsid w:val="165B05D3"/>
    <w:rsid w:val="16706E10"/>
    <w:rsid w:val="167342D2"/>
    <w:rsid w:val="167566A4"/>
    <w:rsid w:val="16877E3B"/>
    <w:rsid w:val="16883C7E"/>
    <w:rsid w:val="16A24BF5"/>
    <w:rsid w:val="16BF4501"/>
    <w:rsid w:val="16D46636"/>
    <w:rsid w:val="16E634EE"/>
    <w:rsid w:val="16E6425B"/>
    <w:rsid w:val="16EB3239"/>
    <w:rsid w:val="16EE0289"/>
    <w:rsid w:val="170C14B3"/>
    <w:rsid w:val="173812F5"/>
    <w:rsid w:val="173E0E43"/>
    <w:rsid w:val="176647B8"/>
    <w:rsid w:val="1768135A"/>
    <w:rsid w:val="17721467"/>
    <w:rsid w:val="17787EAB"/>
    <w:rsid w:val="177D428E"/>
    <w:rsid w:val="178F68B3"/>
    <w:rsid w:val="179D6DFA"/>
    <w:rsid w:val="17A31A1A"/>
    <w:rsid w:val="17CB4230"/>
    <w:rsid w:val="17CF33F8"/>
    <w:rsid w:val="17D60A1F"/>
    <w:rsid w:val="17E04D27"/>
    <w:rsid w:val="1808459B"/>
    <w:rsid w:val="180F61DB"/>
    <w:rsid w:val="18165A2A"/>
    <w:rsid w:val="18373013"/>
    <w:rsid w:val="183F6921"/>
    <w:rsid w:val="184044BF"/>
    <w:rsid w:val="184149AC"/>
    <w:rsid w:val="184952EB"/>
    <w:rsid w:val="18543B80"/>
    <w:rsid w:val="185F2884"/>
    <w:rsid w:val="187C410A"/>
    <w:rsid w:val="18915502"/>
    <w:rsid w:val="18A95EE8"/>
    <w:rsid w:val="18B40DDC"/>
    <w:rsid w:val="18B50763"/>
    <w:rsid w:val="18C31D0B"/>
    <w:rsid w:val="18CB50F0"/>
    <w:rsid w:val="18D4394A"/>
    <w:rsid w:val="18F01878"/>
    <w:rsid w:val="19254C43"/>
    <w:rsid w:val="19405B13"/>
    <w:rsid w:val="195D5B4F"/>
    <w:rsid w:val="19801B59"/>
    <w:rsid w:val="19813723"/>
    <w:rsid w:val="198F45DD"/>
    <w:rsid w:val="1992188E"/>
    <w:rsid w:val="199B72B2"/>
    <w:rsid w:val="19AB31E9"/>
    <w:rsid w:val="19CE7110"/>
    <w:rsid w:val="19D21D12"/>
    <w:rsid w:val="19DB75E4"/>
    <w:rsid w:val="19DC52BF"/>
    <w:rsid w:val="19FE163E"/>
    <w:rsid w:val="1A0A2B4C"/>
    <w:rsid w:val="1A1F0F22"/>
    <w:rsid w:val="1A3869CD"/>
    <w:rsid w:val="1A457FCB"/>
    <w:rsid w:val="1A5F0B47"/>
    <w:rsid w:val="1A91148E"/>
    <w:rsid w:val="1AA26902"/>
    <w:rsid w:val="1AAA1F84"/>
    <w:rsid w:val="1AB00207"/>
    <w:rsid w:val="1AB52681"/>
    <w:rsid w:val="1ABE7D37"/>
    <w:rsid w:val="1AC1475C"/>
    <w:rsid w:val="1ACE08E9"/>
    <w:rsid w:val="1AD0283D"/>
    <w:rsid w:val="1ADD0D46"/>
    <w:rsid w:val="1AE16C19"/>
    <w:rsid w:val="1B125DDA"/>
    <w:rsid w:val="1B1B27AF"/>
    <w:rsid w:val="1B4C7093"/>
    <w:rsid w:val="1B6B406D"/>
    <w:rsid w:val="1B9B216A"/>
    <w:rsid w:val="1BB32E96"/>
    <w:rsid w:val="1BD23429"/>
    <w:rsid w:val="1BDF3256"/>
    <w:rsid w:val="1BF2544F"/>
    <w:rsid w:val="1C1B280C"/>
    <w:rsid w:val="1C215368"/>
    <w:rsid w:val="1C2761F3"/>
    <w:rsid w:val="1C496310"/>
    <w:rsid w:val="1C5D4224"/>
    <w:rsid w:val="1C5E1E39"/>
    <w:rsid w:val="1C5E5275"/>
    <w:rsid w:val="1C856B73"/>
    <w:rsid w:val="1C9242AB"/>
    <w:rsid w:val="1CA72CB3"/>
    <w:rsid w:val="1CAB511B"/>
    <w:rsid w:val="1CB02827"/>
    <w:rsid w:val="1CD84E90"/>
    <w:rsid w:val="1D185D6A"/>
    <w:rsid w:val="1D296EF5"/>
    <w:rsid w:val="1D553BF2"/>
    <w:rsid w:val="1D6D1D09"/>
    <w:rsid w:val="1D804F80"/>
    <w:rsid w:val="1DA958F6"/>
    <w:rsid w:val="1DBC77F4"/>
    <w:rsid w:val="1DE4460A"/>
    <w:rsid w:val="1DE6752F"/>
    <w:rsid w:val="1DF7400A"/>
    <w:rsid w:val="1E013264"/>
    <w:rsid w:val="1E12615C"/>
    <w:rsid w:val="1E1C765A"/>
    <w:rsid w:val="1E262A27"/>
    <w:rsid w:val="1E2C5D58"/>
    <w:rsid w:val="1E2F3E70"/>
    <w:rsid w:val="1E335389"/>
    <w:rsid w:val="1E3F35BD"/>
    <w:rsid w:val="1E482687"/>
    <w:rsid w:val="1E5707DE"/>
    <w:rsid w:val="1E740F0D"/>
    <w:rsid w:val="1E9A56A3"/>
    <w:rsid w:val="1EA36749"/>
    <w:rsid w:val="1EC23A55"/>
    <w:rsid w:val="1EDE3E4D"/>
    <w:rsid w:val="1EFF5E6A"/>
    <w:rsid w:val="1F0C25D9"/>
    <w:rsid w:val="1F2D6461"/>
    <w:rsid w:val="1F334F71"/>
    <w:rsid w:val="1F354DB1"/>
    <w:rsid w:val="1F3A277D"/>
    <w:rsid w:val="1F571BD3"/>
    <w:rsid w:val="1F7F1019"/>
    <w:rsid w:val="1F843DE6"/>
    <w:rsid w:val="1F9675F9"/>
    <w:rsid w:val="1FC1366A"/>
    <w:rsid w:val="1FD44493"/>
    <w:rsid w:val="1FE03430"/>
    <w:rsid w:val="1FE81AB1"/>
    <w:rsid w:val="1FF037A6"/>
    <w:rsid w:val="1FF51C68"/>
    <w:rsid w:val="1FF72138"/>
    <w:rsid w:val="202741E3"/>
    <w:rsid w:val="203F76A4"/>
    <w:rsid w:val="205516BE"/>
    <w:rsid w:val="205965D9"/>
    <w:rsid w:val="2074218C"/>
    <w:rsid w:val="208166FD"/>
    <w:rsid w:val="208D640A"/>
    <w:rsid w:val="209E0CEA"/>
    <w:rsid w:val="20DB6509"/>
    <w:rsid w:val="20EC41BB"/>
    <w:rsid w:val="2126496E"/>
    <w:rsid w:val="213B5CD2"/>
    <w:rsid w:val="21656360"/>
    <w:rsid w:val="216D33DF"/>
    <w:rsid w:val="21724281"/>
    <w:rsid w:val="217A09A5"/>
    <w:rsid w:val="21864670"/>
    <w:rsid w:val="2190323C"/>
    <w:rsid w:val="219A1570"/>
    <w:rsid w:val="21E23CAE"/>
    <w:rsid w:val="220D5A08"/>
    <w:rsid w:val="2220046A"/>
    <w:rsid w:val="22505F69"/>
    <w:rsid w:val="22703CF0"/>
    <w:rsid w:val="2273507A"/>
    <w:rsid w:val="2273551A"/>
    <w:rsid w:val="22736CCB"/>
    <w:rsid w:val="227A7A22"/>
    <w:rsid w:val="227C682E"/>
    <w:rsid w:val="227E095F"/>
    <w:rsid w:val="2282657C"/>
    <w:rsid w:val="22A129F3"/>
    <w:rsid w:val="22B82B02"/>
    <w:rsid w:val="22D33EA6"/>
    <w:rsid w:val="22DE5C91"/>
    <w:rsid w:val="22E813E0"/>
    <w:rsid w:val="22FB1635"/>
    <w:rsid w:val="230C6400"/>
    <w:rsid w:val="23190EE9"/>
    <w:rsid w:val="231C4810"/>
    <w:rsid w:val="232A0B84"/>
    <w:rsid w:val="236B587B"/>
    <w:rsid w:val="237960DC"/>
    <w:rsid w:val="239120EA"/>
    <w:rsid w:val="23A15217"/>
    <w:rsid w:val="23AD60D7"/>
    <w:rsid w:val="23BA4644"/>
    <w:rsid w:val="23C26CFC"/>
    <w:rsid w:val="23E16126"/>
    <w:rsid w:val="23E43A80"/>
    <w:rsid w:val="23F47757"/>
    <w:rsid w:val="24071708"/>
    <w:rsid w:val="24155192"/>
    <w:rsid w:val="242E4806"/>
    <w:rsid w:val="24412C44"/>
    <w:rsid w:val="244B37E6"/>
    <w:rsid w:val="245743B5"/>
    <w:rsid w:val="24574D0A"/>
    <w:rsid w:val="245D5692"/>
    <w:rsid w:val="247221DF"/>
    <w:rsid w:val="247513E0"/>
    <w:rsid w:val="249A087B"/>
    <w:rsid w:val="24A34DCB"/>
    <w:rsid w:val="24A4678C"/>
    <w:rsid w:val="24AD6222"/>
    <w:rsid w:val="24B73377"/>
    <w:rsid w:val="24BA3D72"/>
    <w:rsid w:val="24CD4542"/>
    <w:rsid w:val="24E80508"/>
    <w:rsid w:val="24E8337B"/>
    <w:rsid w:val="24FC0C7B"/>
    <w:rsid w:val="25356021"/>
    <w:rsid w:val="254B68E4"/>
    <w:rsid w:val="255320E9"/>
    <w:rsid w:val="255D6052"/>
    <w:rsid w:val="25850891"/>
    <w:rsid w:val="25B81417"/>
    <w:rsid w:val="25BB704A"/>
    <w:rsid w:val="25EA4351"/>
    <w:rsid w:val="25FE407C"/>
    <w:rsid w:val="26082DC8"/>
    <w:rsid w:val="2638094F"/>
    <w:rsid w:val="263B466F"/>
    <w:rsid w:val="263E0EAC"/>
    <w:rsid w:val="263F5121"/>
    <w:rsid w:val="26562F82"/>
    <w:rsid w:val="2665161B"/>
    <w:rsid w:val="26803088"/>
    <w:rsid w:val="26894387"/>
    <w:rsid w:val="269C68CA"/>
    <w:rsid w:val="26D2010B"/>
    <w:rsid w:val="26D4632B"/>
    <w:rsid w:val="271D1EB4"/>
    <w:rsid w:val="271E24C5"/>
    <w:rsid w:val="27244E14"/>
    <w:rsid w:val="27311FCF"/>
    <w:rsid w:val="27442A58"/>
    <w:rsid w:val="275F0CD3"/>
    <w:rsid w:val="27A71614"/>
    <w:rsid w:val="27AA1A6C"/>
    <w:rsid w:val="27AE06A2"/>
    <w:rsid w:val="27D01706"/>
    <w:rsid w:val="27EA48A9"/>
    <w:rsid w:val="27F3564A"/>
    <w:rsid w:val="28325B9C"/>
    <w:rsid w:val="28425FD1"/>
    <w:rsid w:val="28840AAD"/>
    <w:rsid w:val="28863432"/>
    <w:rsid w:val="28954ED3"/>
    <w:rsid w:val="28B52071"/>
    <w:rsid w:val="28BA1F6A"/>
    <w:rsid w:val="28C61782"/>
    <w:rsid w:val="28D46F51"/>
    <w:rsid w:val="28ED0663"/>
    <w:rsid w:val="290B5205"/>
    <w:rsid w:val="294825F1"/>
    <w:rsid w:val="294E3F38"/>
    <w:rsid w:val="29675DAC"/>
    <w:rsid w:val="29835B48"/>
    <w:rsid w:val="29937C67"/>
    <w:rsid w:val="29A4032A"/>
    <w:rsid w:val="29B05158"/>
    <w:rsid w:val="29C26A1E"/>
    <w:rsid w:val="29C36304"/>
    <w:rsid w:val="29D8176B"/>
    <w:rsid w:val="29D81E95"/>
    <w:rsid w:val="29F15A0B"/>
    <w:rsid w:val="29F2088E"/>
    <w:rsid w:val="29F77955"/>
    <w:rsid w:val="29FE6EF3"/>
    <w:rsid w:val="2A087824"/>
    <w:rsid w:val="2A1B6F47"/>
    <w:rsid w:val="2A2C7B7A"/>
    <w:rsid w:val="2A3D494E"/>
    <w:rsid w:val="2A487BBD"/>
    <w:rsid w:val="2A4952D5"/>
    <w:rsid w:val="2A5A3D32"/>
    <w:rsid w:val="2A7705EC"/>
    <w:rsid w:val="2A881B63"/>
    <w:rsid w:val="2A8D0A0D"/>
    <w:rsid w:val="2AA06C98"/>
    <w:rsid w:val="2AAC7A6F"/>
    <w:rsid w:val="2AAF7102"/>
    <w:rsid w:val="2ABB0892"/>
    <w:rsid w:val="2AC35EBD"/>
    <w:rsid w:val="2AC514A0"/>
    <w:rsid w:val="2ADA009F"/>
    <w:rsid w:val="2AEB310F"/>
    <w:rsid w:val="2B0428DA"/>
    <w:rsid w:val="2B1161F7"/>
    <w:rsid w:val="2B151E11"/>
    <w:rsid w:val="2B177A61"/>
    <w:rsid w:val="2B382BF6"/>
    <w:rsid w:val="2B4673AD"/>
    <w:rsid w:val="2B492FF2"/>
    <w:rsid w:val="2B4F643B"/>
    <w:rsid w:val="2B591778"/>
    <w:rsid w:val="2B627A4B"/>
    <w:rsid w:val="2B6E6585"/>
    <w:rsid w:val="2B7D70AB"/>
    <w:rsid w:val="2B852E10"/>
    <w:rsid w:val="2B9B76E0"/>
    <w:rsid w:val="2BAF63E4"/>
    <w:rsid w:val="2BB52FB9"/>
    <w:rsid w:val="2BBD31DA"/>
    <w:rsid w:val="2BC71A8A"/>
    <w:rsid w:val="2BC93AB1"/>
    <w:rsid w:val="2BE613B7"/>
    <w:rsid w:val="2C090811"/>
    <w:rsid w:val="2C147232"/>
    <w:rsid w:val="2C157FC6"/>
    <w:rsid w:val="2C1A15A3"/>
    <w:rsid w:val="2C2364B5"/>
    <w:rsid w:val="2C693C27"/>
    <w:rsid w:val="2C8E0B5F"/>
    <w:rsid w:val="2C963FFD"/>
    <w:rsid w:val="2C9D5806"/>
    <w:rsid w:val="2CAC7E5C"/>
    <w:rsid w:val="2CAD56AA"/>
    <w:rsid w:val="2CC841ED"/>
    <w:rsid w:val="2CDA6659"/>
    <w:rsid w:val="2CDA693A"/>
    <w:rsid w:val="2CDE5A7A"/>
    <w:rsid w:val="2CDF5585"/>
    <w:rsid w:val="2CE6306C"/>
    <w:rsid w:val="2CE90300"/>
    <w:rsid w:val="2CF078D2"/>
    <w:rsid w:val="2CF50E27"/>
    <w:rsid w:val="2CF916FA"/>
    <w:rsid w:val="2CF95115"/>
    <w:rsid w:val="2D093C9F"/>
    <w:rsid w:val="2D163259"/>
    <w:rsid w:val="2D1B1B33"/>
    <w:rsid w:val="2D36631D"/>
    <w:rsid w:val="2D3B7916"/>
    <w:rsid w:val="2D3C3CD7"/>
    <w:rsid w:val="2D6768A7"/>
    <w:rsid w:val="2D7D6008"/>
    <w:rsid w:val="2D9F652B"/>
    <w:rsid w:val="2D9F6656"/>
    <w:rsid w:val="2DAE5F4F"/>
    <w:rsid w:val="2DB10B97"/>
    <w:rsid w:val="2DB600C3"/>
    <w:rsid w:val="2DD12AD6"/>
    <w:rsid w:val="2DE85D81"/>
    <w:rsid w:val="2DEB07BF"/>
    <w:rsid w:val="2DF3685B"/>
    <w:rsid w:val="2E0715D6"/>
    <w:rsid w:val="2E173F56"/>
    <w:rsid w:val="2E36004C"/>
    <w:rsid w:val="2E48670E"/>
    <w:rsid w:val="2E6D43BD"/>
    <w:rsid w:val="2E8422D7"/>
    <w:rsid w:val="2EAC39F4"/>
    <w:rsid w:val="2EC251F7"/>
    <w:rsid w:val="2ECF3457"/>
    <w:rsid w:val="2EE73363"/>
    <w:rsid w:val="2EEE2B73"/>
    <w:rsid w:val="2EEF5957"/>
    <w:rsid w:val="2F005E71"/>
    <w:rsid w:val="2F1422A8"/>
    <w:rsid w:val="2F1F4948"/>
    <w:rsid w:val="2F341996"/>
    <w:rsid w:val="2F38231B"/>
    <w:rsid w:val="2F8615D5"/>
    <w:rsid w:val="2F8C712D"/>
    <w:rsid w:val="2F97792C"/>
    <w:rsid w:val="2FA97745"/>
    <w:rsid w:val="2FBF244E"/>
    <w:rsid w:val="2FE1471D"/>
    <w:rsid w:val="2FFB5947"/>
    <w:rsid w:val="300563D4"/>
    <w:rsid w:val="30566E0B"/>
    <w:rsid w:val="306C4308"/>
    <w:rsid w:val="307160DC"/>
    <w:rsid w:val="3072169E"/>
    <w:rsid w:val="30896C46"/>
    <w:rsid w:val="30930E9C"/>
    <w:rsid w:val="309C07CC"/>
    <w:rsid w:val="30BE6DA5"/>
    <w:rsid w:val="30D51F7C"/>
    <w:rsid w:val="30EC4B0C"/>
    <w:rsid w:val="30ED594E"/>
    <w:rsid w:val="311D6372"/>
    <w:rsid w:val="31240EC0"/>
    <w:rsid w:val="3124686A"/>
    <w:rsid w:val="31337ADA"/>
    <w:rsid w:val="315D5BA6"/>
    <w:rsid w:val="31640971"/>
    <w:rsid w:val="316B56A8"/>
    <w:rsid w:val="316E78EA"/>
    <w:rsid w:val="317C2DC5"/>
    <w:rsid w:val="317D615F"/>
    <w:rsid w:val="31811071"/>
    <w:rsid w:val="318626AC"/>
    <w:rsid w:val="31A86376"/>
    <w:rsid w:val="31CA37A5"/>
    <w:rsid w:val="31CE7F2B"/>
    <w:rsid w:val="31D62F20"/>
    <w:rsid w:val="31F435B2"/>
    <w:rsid w:val="3200079B"/>
    <w:rsid w:val="32045B96"/>
    <w:rsid w:val="32150E36"/>
    <w:rsid w:val="32275A10"/>
    <w:rsid w:val="322F3434"/>
    <w:rsid w:val="323215B4"/>
    <w:rsid w:val="323D35EB"/>
    <w:rsid w:val="325720DD"/>
    <w:rsid w:val="32585128"/>
    <w:rsid w:val="325E739D"/>
    <w:rsid w:val="327106C7"/>
    <w:rsid w:val="32851DD7"/>
    <w:rsid w:val="328A68CA"/>
    <w:rsid w:val="32917612"/>
    <w:rsid w:val="32AE6047"/>
    <w:rsid w:val="32C4377F"/>
    <w:rsid w:val="32D83018"/>
    <w:rsid w:val="32DE467C"/>
    <w:rsid w:val="32F90691"/>
    <w:rsid w:val="330356B4"/>
    <w:rsid w:val="33313B23"/>
    <w:rsid w:val="3362363C"/>
    <w:rsid w:val="336261F1"/>
    <w:rsid w:val="33774D25"/>
    <w:rsid w:val="33841A7F"/>
    <w:rsid w:val="33965837"/>
    <w:rsid w:val="339B26BE"/>
    <w:rsid w:val="33A87113"/>
    <w:rsid w:val="33AA50E6"/>
    <w:rsid w:val="33B43DDB"/>
    <w:rsid w:val="33C87001"/>
    <w:rsid w:val="34022462"/>
    <w:rsid w:val="34061E11"/>
    <w:rsid w:val="3408043B"/>
    <w:rsid w:val="34162354"/>
    <w:rsid w:val="3421519F"/>
    <w:rsid w:val="34561EE4"/>
    <w:rsid w:val="3479036A"/>
    <w:rsid w:val="348C273F"/>
    <w:rsid w:val="34942631"/>
    <w:rsid w:val="34995AD7"/>
    <w:rsid w:val="34AC7092"/>
    <w:rsid w:val="34C31F31"/>
    <w:rsid w:val="34D235B5"/>
    <w:rsid w:val="34E010CD"/>
    <w:rsid w:val="34E32054"/>
    <w:rsid w:val="34FF1701"/>
    <w:rsid w:val="351B4C04"/>
    <w:rsid w:val="351D66CE"/>
    <w:rsid w:val="3522430E"/>
    <w:rsid w:val="352E0F08"/>
    <w:rsid w:val="35340596"/>
    <w:rsid w:val="35811005"/>
    <w:rsid w:val="35A506E1"/>
    <w:rsid w:val="35BF396F"/>
    <w:rsid w:val="35F72C7E"/>
    <w:rsid w:val="35F756F8"/>
    <w:rsid w:val="35FD3A56"/>
    <w:rsid w:val="35FF1ADE"/>
    <w:rsid w:val="360258DD"/>
    <w:rsid w:val="360D2591"/>
    <w:rsid w:val="361E456B"/>
    <w:rsid w:val="36240626"/>
    <w:rsid w:val="362D5ECB"/>
    <w:rsid w:val="362D6A7C"/>
    <w:rsid w:val="364044BF"/>
    <w:rsid w:val="364532AC"/>
    <w:rsid w:val="366339B0"/>
    <w:rsid w:val="366B0825"/>
    <w:rsid w:val="36747368"/>
    <w:rsid w:val="369F1362"/>
    <w:rsid w:val="36A8569B"/>
    <w:rsid w:val="36AC5EE8"/>
    <w:rsid w:val="36AF2969"/>
    <w:rsid w:val="36AF6E3D"/>
    <w:rsid w:val="36C8397C"/>
    <w:rsid w:val="36D10650"/>
    <w:rsid w:val="36D53214"/>
    <w:rsid w:val="36E20CB8"/>
    <w:rsid w:val="36F93D67"/>
    <w:rsid w:val="36FE21FA"/>
    <w:rsid w:val="37030692"/>
    <w:rsid w:val="37064D4E"/>
    <w:rsid w:val="370D150A"/>
    <w:rsid w:val="371871B4"/>
    <w:rsid w:val="378D40E6"/>
    <w:rsid w:val="37AA24DC"/>
    <w:rsid w:val="37B542B8"/>
    <w:rsid w:val="37B57AE4"/>
    <w:rsid w:val="37B77F1A"/>
    <w:rsid w:val="37BB068B"/>
    <w:rsid w:val="37D022B1"/>
    <w:rsid w:val="37FF30EC"/>
    <w:rsid w:val="38001947"/>
    <w:rsid w:val="381B582B"/>
    <w:rsid w:val="38817B7A"/>
    <w:rsid w:val="38B7208D"/>
    <w:rsid w:val="38C71CC1"/>
    <w:rsid w:val="390F4628"/>
    <w:rsid w:val="39315B32"/>
    <w:rsid w:val="39356AE9"/>
    <w:rsid w:val="393F7B5B"/>
    <w:rsid w:val="39422268"/>
    <w:rsid w:val="39486A96"/>
    <w:rsid w:val="395B4D61"/>
    <w:rsid w:val="396E5092"/>
    <w:rsid w:val="397E468A"/>
    <w:rsid w:val="399516FD"/>
    <w:rsid w:val="39AB4A8F"/>
    <w:rsid w:val="39AE07ED"/>
    <w:rsid w:val="39B53F76"/>
    <w:rsid w:val="39CA1F53"/>
    <w:rsid w:val="39D2630F"/>
    <w:rsid w:val="39EA01C2"/>
    <w:rsid w:val="3A2071EB"/>
    <w:rsid w:val="3A315109"/>
    <w:rsid w:val="3A39104D"/>
    <w:rsid w:val="3A5C2991"/>
    <w:rsid w:val="3A704B01"/>
    <w:rsid w:val="3A9E48B4"/>
    <w:rsid w:val="3AA10249"/>
    <w:rsid w:val="3AA66471"/>
    <w:rsid w:val="3AE61B59"/>
    <w:rsid w:val="3AEA276D"/>
    <w:rsid w:val="3AED3305"/>
    <w:rsid w:val="3AF706EA"/>
    <w:rsid w:val="3B020FAC"/>
    <w:rsid w:val="3B085156"/>
    <w:rsid w:val="3B0E01BA"/>
    <w:rsid w:val="3B2461CC"/>
    <w:rsid w:val="3B28330C"/>
    <w:rsid w:val="3B2F2682"/>
    <w:rsid w:val="3B3165C4"/>
    <w:rsid w:val="3B382CDA"/>
    <w:rsid w:val="3B5573A4"/>
    <w:rsid w:val="3B6B0E42"/>
    <w:rsid w:val="3BA82EDA"/>
    <w:rsid w:val="3BE15BDA"/>
    <w:rsid w:val="3C0401D8"/>
    <w:rsid w:val="3C124C08"/>
    <w:rsid w:val="3C1B340D"/>
    <w:rsid w:val="3C1F2DBD"/>
    <w:rsid w:val="3C256FCE"/>
    <w:rsid w:val="3C493D9B"/>
    <w:rsid w:val="3C5313A9"/>
    <w:rsid w:val="3C610568"/>
    <w:rsid w:val="3C8504BA"/>
    <w:rsid w:val="3C8B2C9C"/>
    <w:rsid w:val="3C983BA7"/>
    <w:rsid w:val="3CA63B84"/>
    <w:rsid w:val="3CC74820"/>
    <w:rsid w:val="3CEE33AC"/>
    <w:rsid w:val="3CF6002E"/>
    <w:rsid w:val="3D137280"/>
    <w:rsid w:val="3D235BD3"/>
    <w:rsid w:val="3D4034D4"/>
    <w:rsid w:val="3D4248AF"/>
    <w:rsid w:val="3D4C6CB4"/>
    <w:rsid w:val="3D582BF0"/>
    <w:rsid w:val="3D8F09F2"/>
    <w:rsid w:val="3D993C58"/>
    <w:rsid w:val="3DB65C42"/>
    <w:rsid w:val="3DB709FC"/>
    <w:rsid w:val="3DC13DCB"/>
    <w:rsid w:val="3DC34729"/>
    <w:rsid w:val="3DE4699F"/>
    <w:rsid w:val="3DE9747B"/>
    <w:rsid w:val="3E4C0818"/>
    <w:rsid w:val="3E4D00F0"/>
    <w:rsid w:val="3E5F02EA"/>
    <w:rsid w:val="3E732338"/>
    <w:rsid w:val="3E833912"/>
    <w:rsid w:val="3EB337CD"/>
    <w:rsid w:val="3EC46393"/>
    <w:rsid w:val="3ECE2BEE"/>
    <w:rsid w:val="3ED32AE6"/>
    <w:rsid w:val="3EDE3A69"/>
    <w:rsid w:val="3EFB01C0"/>
    <w:rsid w:val="3F0C4FD3"/>
    <w:rsid w:val="3F856C8C"/>
    <w:rsid w:val="3F876778"/>
    <w:rsid w:val="3FA77761"/>
    <w:rsid w:val="3FB31940"/>
    <w:rsid w:val="3FCA54FF"/>
    <w:rsid w:val="40053AEF"/>
    <w:rsid w:val="400657B5"/>
    <w:rsid w:val="4012006B"/>
    <w:rsid w:val="40330DCE"/>
    <w:rsid w:val="403E113A"/>
    <w:rsid w:val="4042587D"/>
    <w:rsid w:val="40474563"/>
    <w:rsid w:val="40553E07"/>
    <w:rsid w:val="406F7959"/>
    <w:rsid w:val="407A7AA6"/>
    <w:rsid w:val="408653B6"/>
    <w:rsid w:val="40B1111B"/>
    <w:rsid w:val="40BD4B46"/>
    <w:rsid w:val="40C006C3"/>
    <w:rsid w:val="40C45E69"/>
    <w:rsid w:val="40D5217D"/>
    <w:rsid w:val="40DF1F6C"/>
    <w:rsid w:val="40FC75EC"/>
    <w:rsid w:val="41176346"/>
    <w:rsid w:val="41303D3A"/>
    <w:rsid w:val="41421392"/>
    <w:rsid w:val="414B0D5D"/>
    <w:rsid w:val="417F4D9D"/>
    <w:rsid w:val="41835BAC"/>
    <w:rsid w:val="419068A2"/>
    <w:rsid w:val="4192041B"/>
    <w:rsid w:val="41A50E7A"/>
    <w:rsid w:val="41A815C8"/>
    <w:rsid w:val="41BD079D"/>
    <w:rsid w:val="41BF7E2C"/>
    <w:rsid w:val="41D02EC0"/>
    <w:rsid w:val="41E92C8C"/>
    <w:rsid w:val="41EF4F88"/>
    <w:rsid w:val="41F5700A"/>
    <w:rsid w:val="41F71C6B"/>
    <w:rsid w:val="42185649"/>
    <w:rsid w:val="42207B94"/>
    <w:rsid w:val="42275EB8"/>
    <w:rsid w:val="422A2151"/>
    <w:rsid w:val="423B52EC"/>
    <w:rsid w:val="424E280C"/>
    <w:rsid w:val="4255521D"/>
    <w:rsid w:val="4266067E"/>
    <w:rsid w:val="42680BA7"/>
    <w:rsid w:val="426A5969"/>
    <w:rsid w:val="426E2453"/>
    <w:rsid w:val="4281684C"/>
    <w:rsid w:val="42C366DD"/>
    <w:rsid w:val="42DB3EE5"/>
    <w:rsid w:val="435436F6"/>
    <w:rsid w:val="4357696D"/>
    <w:rsid w:val="43734926"/>
    <w:rsid w:val="4380635F"/>
    <w:rsid w:val="43A632D7"/>
    <w:rsid w:val="43AE32C9"/>
    <w:rsid w:val="43BA6D47"/>
    <w:rsid w:val="43C90329"/>
    <w:rsid w:val="43E0440A"/>
    <w:rsid w:val="43E527DC"/>
    <w:rsid w:val="43E64688"/>
    <w:rsid w:val="43ED13E7"/>
    <w:rsid w:val="43ED353C"/>
    <w:rsid w:val="43EF0908"/>
    <w:rsid w:val="43F15ABD"/>
    <w:rsid w:val="440F33D3"/>
    <w:rsid w:val="4417132F"/>
    <w:rsid w:val="441B0D61"/>
    <w:rsid w:val="44405482"/>
    <w:rsid w:val="444C6970"/>
    <w:rsid w:val="446028B5"/>
    <w:rsid w:val="447E1A8F"/>
    <w:rsid w:val="4496142D"/>
    <w:rsid w:val="449A231E"/>
    <w:rsid w:val="449A4F29"/>
    <w:rsid w:val="449E221E"/>
    <w:rsid w:val="44A07568"/>
    <w:rsid w:val="44C21817"/>
    <w:rsid w:val="44D267B4"/>
    <w:rsid w:val="44E809D4"/>
    <w:rsid w:val="44E94AE3"/>
    <w:rsid w:val="44EA53A8"/>
    <w:rsid w:val="453463E4"/>
    <w:rsid w:val="45634F37"/>
    <w:rsid w:val="45650C9F"/>
    <w:rsid w:val="45871E73"/>
    <w:rsid w:val="45915F0A"/>
    <w:rsid w:val="45A70D92"/>
    <w:rsid w:val="45B50800"/>
    <w:rsid w:val="45D47576"/>
    <w:rsid w:val="45D94F53"/>
    <w:rsid w:val="45DF3C7E"/>
    <w:rsid w:val="45E94EAA"/>
    <w:rsid w:val="463A23EA"/>
    <w:rsid w:val="46661936"/>
    <w:rsid w:val="46736242"/>
    <w:rsid w:val="46826EF7"/>
    <w:rsid w:val="469251BB"/>
    <w:rsid w:val="46A0184F"/>
    <w:rsid w:val="46BC2EF7"/>
    <w:rsid w:val="46C93F9D"/>
    <w:rsid w:val="46D13BE7"/>
    <w:rsid w:val="46DD7CBE"/>
    <w:rsid w:val="46E52D55"/>
    <w:rsid w:val="46FA6D60"/>
    <w:rsid w:val="470A789B"/>
    <w:rsid w:val="4728075D"/>
    <w:rsid w:val="472D68AA"/>
    <w:rsid w:val="47311A71"/>
    <w:rsid w:val="473D0F93"/>
    <w:rsid w:val="475C0117"/>
    <w:rsid w:val="476139E2"/>
    <w:rsid w:val="47652B4A"/>
    <w:rsid w:val="47930BF3"/>
    <w:rsid w:val="47A709C3"/>
    <w:rsid w:val="47B739FD"/>
    <w:rsid w:val="47BF2FE6"/>
    <w:rsid w:val="47DA45F5"/>
    <w:rsid w:val="47E914D6"/>
    <w:rsid w:val="47EE6D8E"/>
    <w:rsid w:val="48053F12"/>
    <w:rsid w:val="481E1711"/>
    <w:rsid w:val="48363D2A"/>
    <w:rsid w:val="484518D0"/>
    <w:rsid w:val="48460C47"/>
    <w:rsid w:val="484A2839"/>
    <w:rsid w:val="48547FF8"/>
    <w:rsid w:val="487868EC"/>
    <w:rsid w:val="48A01C24"/>
    <w:rsid w:val="48A56AA0"/>
    <w:rsid w:val="48A70052"/>
    <w:rsid w:val="48B56F97"/>
    <w:rsid w:val="48BA7453"/>
    <w:rsid w:val="48D619D4"/>
    <w:rsid w:val="48DB5386"/>
    <w:rsid w:val="49057589"/>
    <w:rsid w:val="49115840"/>
    <w:rsid w:val="492249D4"/>
    <w:rsid w:val="492941E4"/>
    <w:rsid w:val="495B4EAD"/>
    <w:rsid w:val="49661B03"/>
    <w:rsid w:val="497D4FD1"/>
    <w:rsid w:val="49AD07BA"/>
    <w:rsid w:val="49B20276"/>
    <w:rsid w:val="49CE0433"/>
    <w:rsid w:val="4A0168FA"/>
    <w:rsid w:val="4A0B1B0D"/>
    <w:rsid w:val="4A222047"/>
    <w:rsid w:val="4A2328EA"/>
    <w:rsid w:val="4A2473CA"/>
    <w:rsid w:val="4A316D4E"/>
    <w:rsid w:val="4A6F77B6"/>
    <w:rsid w:val="4A787F9A"/>
    <w:rsid w:val="4A98074E"/>
    <w:rsid w:val="4A9C6D87"/>
    <w:rsid w:val="4A9F6D06"/>
    <w:rsid w:val="4AA407A2"/>
    <w:rsid w:val="4AAE4AF0"/>
    <w:rsid w:val="4AB9690E"/>
    <w:rsid w:val="4AC45213"/>
    <w:rsid w:val="4ACD385D"/>
    <w:rsid w:val="4AD84260"/>
    <w:rsid w:val="4AD87C0B"/>
    <w:rsid w:val="4AF96F0F"/>
    <w:rsid w:val="4B0E4872"/>
    <w:rsid w:val="4B1552CA"/>
    <w:rsid w:val="4B473C06"/>
    <w:rsid w:val="4B573495"/>
    <w:rsid w:val="4B5A3F42"/>
    <w:rsid w:val="4B6657BF"/>
    <w:rsid w:val="4B801B9C"/>
    <w:rsid w:val="4B892A61"/>
    <w:rsid w:val="4B8F1AD2"/>
    <w:rsid w:val="4B904CE5"/>
    <w:rsid w:val="4B9D24D6"/>
    <w:rsid w:val="4BA21F8A"/>
    <w:rsid w:val="4BB578B7"/>
    <w:rsid w:val="4BBC48B1"/>
    <w:rsid w:val="4BD923A6"/>
    <w:rsid w:val="4BDC085E"/>
    <w:rsid w:val="4BF91049"/>
    <w:rsid w:val="4C02686F"/>
    <w:rsid w:val="4C1C4D9E"/>
    <w:rsid w:val="4C1D24E0"/>
    <w:rsid w:val="4C233CD3"/>
    <w:rsid w:val="4C240A84"/>
    <w:rsid w:val="4C324360"/>
    <w:rsid w:val="4C3A5AD2"/>
    <w:rsid w:val="4C7C5DB6"/>
    <w:rsid w:val="4C9125A3"/>
    <w:rsid w:val="4CA31D2A"/>
    <w:rsid w:val="4CA82E2C"/>
    <w:rsid w:val="4CBB052F"/>
    <w:rsid w:val="4CCB4264"/>
    <w:rsid w:val="4CD01643"/>
    <w:rsid w:val="4CD2257B"/>
    <w:rsid w:val="4CD4605E"/>
    <w:rsid w:val="4D2003C7"/>
    <w:rsid w:val="4D306077"/>
    <w:rsid w:val="4D3D5DE3"/>
    <w:rsid w:val="4D6A6093"/>
    <w:rsid w:val="4D6F1420"/>
    <w:rsid w:val="4D736FC5"/>
    <w:rsid w:val="4DF7667D"/>
    <w:rsid w:val="4DF830FD"/>
    <w:rsid w:val="4E0133B8"/>
    <w:rsid w:val="4E0F7880"/>
    <w:rsid w:val="4E1A71B3"/>
    <w:rsid w:val="4E245182"/>
    <w:rsid w:val="4E3655AC"/>
    <w:rsid w:val="4E4553E9"/>
    <w:rsid w:val="4E7B36E9"/>
    <w:rsid w:val="4EAC5886"/>
    <w:rsid w:val="4ECB786C"/>
    <w:rsid w:val="4ED4056B"/>
    <w:rsid w:val="4EF53B4B"/>
    <w:rsid w:val="4F0B72FE"/>
    <w:rsid w:val="4F1D371F"/>
    <w:rsid w:val="4F2178B4"/>
    <w:rsid w:val="4F22406F"/>
    <w:rsid w:val="4F572D9B"/>
    <w:rsid w:val="4F7E31D4"/>
    <w:rsid w:val="4F855F30"/>
    <w:rsid w:val="4F891F33"/>
    <w:rsid w:val="4F8D46D4"/>
    <w:rsid w:val="4FBA7D8E"/>
    <w:rsid w:val="4FC37299"/>
    <w:rsid w:val="4FC37AD4"/>
    <w:rsid w:val="4FC50C6E"/>
    <w:rsid w:val="4FF63534"/>
    <w:rsid w:val="4FF6779A"/>
    <w:rsid w:val="50142239"/>
    <w:rsid w:val="502D1F9C"/>
    <w:rsid w:val="502E379C"/>
    <w:rsid w:val="503333EE"/>
    <w:rsid w:val="50402D59"/>
    <w:rsid w:val="504C6D58"/>
    <w:rsid w:val="506A628A"/>
    <w:rsid w:val="506B32A8"/>
    <w:rsid w:val="507070C2"/>
    <w:rsid w:val="5085419D"/>
    <w:rsid w:val="50CD18F3"/>
    <w:rsid w:val="50DA2806"/>
    <w:rsid w:val="50E21BB2"/>
    <w:rsid w:val="50E908DE"/>
    <w:rsid w:val="50F44EBE"/>
    <w:rsid w:val="50FF6220"/>
    <w:rsid w:val="512011FD"/>
    <w:rsid w:val="512F439E"/>
    <w:rsid w:val="515A1CDE"/>
    <w:rsid w:val="51641F3F"/>
    <w:rsid w:val="51732DF8"/>
    <w:rsid w:val="5175467C"/>
    <w:rsid w:val="518B3E8F"/>
    <w:rsid w:val="519B1B13"/>
    <w:rsid w:val="51C5430D"/>
    <w:rsid w:val="51C96161"/>
    <w:rsid w:val="51DD369E"/>
    <w:rsid w:val="51ED646C"/>
    <w:rsid w:val="51F24FE3"/>
    <w:rsid w:val="52040985"/>
    <w:rsid w:val="52185C71"/>
    <w:rsid w:val="52290B05"/>
    <w:rsid w:val="523A7757"/>
    <w:rsid w:val="52582D49"/>
    <w:rsid w:val="52594C97"/>
    <w:rsid w:val="5264359A"/>
    <w:rsid w:val="526C1D2D"/>
    <w:rsid w:val="527D5751"/>
    <w:rsid w:val="5292758F"/>
    <w:rsid w:val="52C14411"/>
    <w:rsid w:val="52DC3977"/>
    <w:rsid w:val="52E23AEE"/>
    <w:rsid w:val="52F87EDE"/>
    <w:rsid w:val="53015C6B"/>
    <w:rsid w:val="5303385D"/>
    <w:rsid w:val="53081056"/>
    <w:rsid w:val="532C7C1D"/>
    <w:rsid w:val="53365C43"/>
    <w:rsid w:val="5351076F"/>
    <w:rsid w:val="5358066D"/>
    <w:rsid w:val="536D10F7"/>
    <w:rsid w:val="53744B4F"/>
    <w:rsid w:val="53884F66"/>
    <w:rsid w:val="53BC380A"/>
    <w:rsid w:val="53CD37DD"/>
    <w:rsid w:val="53D526A0"/>
    <w:rsid w:val="53DA7A1B"/>
    <w:rsid w:val="53E14982"/>
    <w:rsid w:val="53E62826"/>
    <w:rsid w:val="53FB52CF"/>
    <w:rsid w:val="5424586C"/>
    <w:rsid w:val="5424771D"/>
    <w:rsid w:val="544D5BA5"/>
    <w:rsid w:val="54815686"/>
    <w:rsid w:val="549778BD"/>
    <w:rsid w:val="54A74548"/>
    <w:rsid w:val="54C136A7"/>
    <w:rsid w:val="54C15751"/>
    <w:rsid w:val="54D86754"/>
    <w:rsid w:val="551A665B"/>
    <w:rsid w:val="551E286C"/>
    <w:rsid w:val="552C0336"/>
    <w:rsid w:val="55345814"/>
    <w:rsid w:val="553B1FF4"/>
    <w:rsid w:val="554124AE"/>
    <w:rsid w:val="55711F1D"/>
    <w:rsid w:val="557C37F0"/>
    <w:rsid w:val="55855731"/>
    <w:rsid w:val="55A44928"/>
    <w:rsid w:val="55AE5732"/>
    <w:rsid w:val="55B73510"/>
    <w:rsid w:val="55CE550C"/>
    <w:rsid w:val="55D65368"/>
    <w:rsid w:val="55DA3793"/>
    <w:rsid w:val="55EA6E29"/>
    <w:rsid w:val="560F1930"/>
    <w:rsid w:val="564659C3"/>
    <w:rsid w:val="565C5CE0"/>
    <w:rsid w:val="56636EF2"/>
    <w:rsid w:val="56670542"/>
    <w:rsid w:val="567558D8"/>
    <w:rsid w:val="567C14B2"/>
    <w:rsid w:val="56917139"/>
    <w:rsid w:val="56973E60"/>
    <w:rsid w:val="569E0626"/>
    <w:rsid w:val="569E2151"/>
    <w:rsid w:val="56A6391E"/>
    <w:rsid w:val="56BF4567"/>
    <w:rsid w:val="56E2460C"/>
    <w:rsid w:val="56EA0A47"/>
    <w:rsid w:val="56EA5543"/>
    <w:rsid w:val="56F41F92"/>
    <w:rsid w:val="573408EA"/>
    <w:rsid w:val="57366124"/>
    <w:rsid w:val="574E1331"/>
    <w:rsid w:val="575D30DD"/>
    <w:rsid w:val="57895448"/>
    <w:rsid w:val="57960862"/>
    <w:rsid w:val="5798538A"/>
    <w:rsid w:val="57AE10AD"/>
    <w:rsid w:val="57BC4C9C"/>
    <w:rsid w:val="57DF5E84"/>
    <w:rsid w:val="57EC3789"/>
    <w:rsid w:val="581B6703"/>
    <w:rsid w:val="586B784A"/>
    <w:rsid w:val="58845148"/>
    <w:rsid w:val="58981D89"/>
    <w:rsid w:val="58B60913"/>
    <w:rsid w:val="58C73C0F"/>
    <w:rsid w:val="58CA4882"/>
    <w:rsid w:val="58DB6122"/>
    <w:rsid w:val="593123F4"/>
    <w:rsid w:val="594475B9"/>
    <w:rsid w:val="5957181C"/>
    <w:rsid w:val="5993415C"/>
    <w:rsid w:val="59A81B2F"/>
    <w:rsid w:val="59B147B5"/>
    <w:rsid w:val="59D27A71"/>
    <w:rsid w:val="59D51C1B"/>
    <w:rsid w:val="59D66659"/>
    <w:rsid w:val="59E30342"/>
    <w:rsid w:val="59EE3BAB"/>
    <w:rsid w:val="5A056BFD"/>
    <w:rsid w:val="5A500891"/>
    <w:rsid w:val="5A601291"/>
    <w:rsid w:val="5A702CA7"/>
    <w:rsid w:val="5A8B570E"/>
    <w:rsid w:val="5AA97954"/>
    <w:rsid w:val="5AAB3166"/>
    <w:rsid w:val="5AC04993"/>
    <w:rsid w:val="5AC61DB0"/>
    <w:rsid w:val="5AC703B1"/>
    <w:rsid w:val="5AE348E5"/>
    <w:rsid w:val="5AF406D6"/>
    <w:rsid w:val="5B0573CF"/>
    <w:rsid w:val="5B4C2BE0"/>
    <w:rsid w:val="5B745DC2"/>
    <w:rsid w:val="5B886A6B"/>
    <w:rsid w:val="5B9073BF"/>
    <w:rsid w:val="5B9668E2"/>
    <w:rsid w:val="5B9A59C3"/>
    <w:rsid w:val="5BD26579"/>
    <w:rsid w:val="5BD45145"/>
    <w:rsid w:val="5BD61556"/>
    <w:rsid w:val="5BF749D7"/>
    <w:rsid w:val="5C02590C"/>
    <w:rsid w:val="5C0D4790"/>
    <w:rsid w:val="5C526298"/>
    <w:rsid w:val="5C6D57D9"/>
    <w:rsid w:val="5C6F6A08"/>
    <w:rsid w:val="5C892FCB"/>
    <w:rsid w:val="5CBC4995"/>
    <w:rsid w:val="5D0500B8"/>
    <w:rsid w:val="5D0513F5"/>
    <w:rsid w:val="5D1A5393"/>
    <w:rsid w:val="5D1B0C87"/>
    <w:rsid w:val="5D326378"/>
    <w:rsid w:val="5D372F66"/>
    <w:rsid w:val="5DAB6FCD"/>
    <w:rsid w:val="5DCF4070"/>
    <w:rsid w:val="5DD45B7B"/>
    <w:rsid w:val="5DDB1DDC"/>
    <w:rsid w:val="5DF9398D"/>
    <w:rsid w:val="5DFE1F35"/>
    <w:rsid w:val="5E095FD6"/>
    <w:rsid w:val="5E24434B"/>
    <w:rsid w:val="5E3C2AC9"/>
    <w:rsid w:val="5E3C6D4A"/>
    <w:rsid w:val="5E5D258D"/>
    <w:rsid w:val="5E6704E7"/>
    <w:rsid w:val="5E7E3F64"/>
    <w:rsid w:val="5E821D61"/>
    <w:rsid w:val="5EA209B1"/>
    <w:rsid w:val="5EA3465D"/>
    <w:rsid w:val="5ECD1471"/>
    <w:rsid w:val="5EE744DE"/>
    <w:rsid w:val="5F050C77"/>
    <w:rsid w:val="5F25133A"/>
    <w:rsid w:val="5F25432A"/>
    <w:rsid w:val="5F944B25"/>
    <w:rsid w:val="5F9C6EBA"/>
    <w:rsid w:val="5FB03D28"/>
    <w:rsid w:val="5FB33285"/>
    <w:rsid w:val="5FCE51B0"/>
    <w:rsid w:val="5FD73269"/>
    <w:rsid w:val="5FF955B8"/>
    <w:rsid w:val="60050B91"/>
    <w:rsid w:val="60280B93"/>
    <w:rsid w:val="60445E9C"/>
    <w:rsid w:val="604A2B76"/>
    <w:rsid w:val="604E6B79"/>
    <w:rsid w:val="6050306B"/>
    <w:rsid w:val="605F6A3E"/>
    <w:rsid w:val="606A4DD2"/>
    <w:rsid w:val="606E4587"/>
    <w:rsid w:val="607920A4"/>
    <w:rsid w:val="608224E7"/>
    <w:rsid w:val="60A7668C"/>
    <w:rsid w:val="60AF4C6F"/>
    <w:rsid w:val="60C34628"/>
    <w:rsid w:val="60E174E9"/>
    <w:rsid w:val="60EA0E46"/>
    <w:rsid w:val="60F11ACC"/>
    <w:rsid w:val="61005095"/>
    <w:rsid w:val="610B26BE"/>
    <w:rsid w:val="612352D2"/>
    <w:rsid w:val="612562F1"/>
    <w:rsid w:val="612C5573"/>
    <w:rsid w:val="613C78BF"/>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187705"/>
    <w:rsid w:val="622257EC"/>
    <w:rsid w:val="62262A28"/>
    <w:rsid w:val="62323A92"/>
    <w:rsid w:val="62392165"/>
    <w:rsid w:val="624F2049"/>
    <w:rsid w:val="626B6B7B"/>
    <w:rsid w:val="62735C4D"/>
    <w:rsid w:val="62A20F7F"/>
    <w:rsid w:val="62A26D46"/>
    <w:rsid w:val="62A400F4"/>
    <w:rsid w:val="62BA45D2"/>
    <w:rsid w:val="62C45031"/>
    <w:rsid w:val="62CB340F"/>
    <w:rsid w:val="62D40767"/>
    <w:rsid w:val="62D647AE"/>
    <w:rsid w:val="62ED19E1"/>
    <w:rsid w:val="62EE19D4"/>
    <w:rsid w:val="62F3067B"/>
    <w:rsid w:val="62F52B28"/>
    <w:rsid w:val="62F675AF"/>
    <w:rsid w:val="63005C1B"/>
    <w:rsid w:val="63012DEA"/>
    <w:rsid w:val="631E4A5A"/>
    <w:rsid w:val="633356A8"/>
    <w:rsid w:val="636E1D9B"/>
    <w:rsid w:val="63B05B43"/>
    <w:rsid w:val="63C00CA9"/>
    <w:rsid w:val="63D1219F"/>
    <w:rsid w:val="63D17139"/>
    <w:rsid w:val="63ED7F49"/>
    <w:rsid w:val="63F54F01"/>
    <w:rsid w:val="6403179D"/>
    <w:rsid w:val="640A2B01"/>
    <w:rsid w:val="64482382"/>
    <w:rsid w:val="64514906"/>
    <w:rsid w:val="64515ABF"/>
    <w:rsid w:val="647841EA"/>
    <w:rsid w:val="6482448D"/>
    <w:rsid w:val="649C4622"/>
    <w:rsid w:val="64B571FC"/>
    <w:rsid w:val="64D27E30"/>
    <w:rsid w:val="64DB34EA"/>
    <w:rsid w:val="65025C93"/>
    <w:rsid w:val="65041524"/>
    <w:rsid w:val="65125EED"/>
    <w:rsid w:val="65175291"/>
    <w:rsid w:val="654950EA"/>
    <w:rsid w:val="655239D8"/>
    <w:rsid w:val="655C66E5"/>
    <w:rsid w:val="657129A7"/>
    <w:rsid w:val="657C22D7"/>
    <w:rsid w:val="657E6A00"/>
    <w:rsid w:val="658F5827"/>
    <w:rsid w:val="659323E7"/>
    <w:rsid w:val="65A258EE"/>
    <w:rsid w:val="65B11D28"/>
    <w:rsid w:val="66210722"/>
    <w:rsid w:val="66437915"/>
    <w:rsid w:val="667337A9"/>
    <w:rsid w:val="66743387"/>
    <w:rsid w:val="6680013B"/>
    <w:rsid w:val="669C061B"/>
    <w:rsid w:val="66AA76F2"/>
    <w:rsid w:val="66D05609"/>
    <w:rsid w:val="66D3237B"/>
    <w:rsid w:val="66E71606"/>
    <w:rsid w:val="66F80F5E"/>
    <w:rsid w:val="66F92B4F"/>
    <w:rsid w:val="67166EC5"/>
    <w:rsid w:val="67210094"/>
    <w:rsid w:val="67336828"/>
    <w:rsid w:val="673F1301"/>
    <w:rsid w:val="674B3726"/>
    <w:rsid w:val="675E1C55"/>
    <w:rsid w:val="676A31F2"/>
    <w:rsid w:val="67712305"/>
    <w:rsid w:val="67727873"/>
    <w:rsid w:val="67736FEC"/>
    <w:rsid w:val="679223C5"/>
    <w:rsid w:val="67AA35E9"/>
    <w:rsid w:val="67EC2A68"/>
    <w:rsid w:val="67F35ECB"/>
    <w:rsid w:val="67FF6628"/>
    <w:rsid w:val="680C4197"/>
    <w:rsid w:val="68161A4C"/>
    <w:rsid w:val="683C725A"/>
    <w:rsid w:val="68524342"/>
    <w:rsid w:val="68592842"/>
    <w:rsid w:val="685F0CCE"/>
    <w:rsid w:val="686167C2"/>
    <w:rsid w:val="687B2943"/>
    <w:rsid w:val="6883200C"/>
    <w:rsid w:val="689265B7"/>
    <w:rsid w:val="689E6169"/>
    <w:rsid w:val="68A012E7"/>
    <w:rsid w:val="68B73C34"/>
    <w:rsid w:val="68C107A0"/>
    <w:rsid w:val="68D26D24"/>
    <w:rsid w:val="68E55AD1"/>
    <w:rsid w:val="68EC2B10"/>
    <w:rsid w:val="68F67F71"/>
    <w:rsid w:val="69170944"/>
    <w:rsid w:val="691A4A6A"/>
    <w:rsid w:val="691E7351"/>
    <w:rsid w:val="694C4E0F"/>
    <w:rsid w:val="69545358"/>
    <w:rsid w:val="6965570D"/>
    <w:rsid w:val="697F5294"/>
    <w:rsid w:val="698A51F6"/>
    <w:rsid w:val="698A76FD"/>
    <w:rsid w:val="699843B9"/>
    <w:rsid w:val="699957CD"/>
    <w:rsid w:val="69D54202"/>
    <w:rsid w:val="69DA5F5C"/>
    <w:rsid w:val="69F6462C"/>
    <w:rsid w:val="6A1D1AFD"/>
    <w:rsid w:val="6A32535E"/>
    <w:rsid w:val="6A417AA1"/>
    <w:rsid w:val="6A475884"/>
    <w:rsid w:val="6A4B5A60"/>
    <w:rsid w:val="6A6062D1"/>
    <w:rsid w:val="6A6F4803"/>
    <w:rsid w:val="6A7D143E"/>
    <w:rsid w:val="6A7F581D"/>
    <w:rsid w:val="6A9A08C6"/>
    <w:rsid w:val="6ABD20F1"/>
    <w:rsid w:val="6AD251D6"/>
    <w:rsid w:val="6AF808BE"/>
    <w:rsid w:val="6AFE540C"/>
    <w:rsid w:val="6B015D35"/>
    <w:rsid w:val="6B024C5F"/>
    <w:rsid w:val="6B200B90"/>
    <w:rsid w:val="6B3F0BA9"/>
    <w:rsid w:val="6B474827"/>
    <w:rsid w:val="6B4832CE"/>
    <w:rsid w:val="6B511BD5"/>
    <w:rsid w:val="6B62080F"/>
    <w:rsid w:val="6B6E1603"/>
    <w:rsid w:val="6B7178EF"/>
    <w:rsid w:val="6B7211DE"/>
    <w:rsid w:val="6B733E20"/>
    <w:rsid w:val="6BAC208A"/>
    <w:rsid w:val="6BAC63E0"/>
    <w:rsid w:val="6BB66D0F"/>
    <w:rsid w:val="6BD42E6C"/>
    <w:rsid w:val="6BF13291"/>
    <w:rsid w:val="6BF924D9"/>
    <w:rsid w:val="6C102C41"/>
    <w:rsid w:val="6C130944"/>
    <w:rsid w:val="6C1E3605"/>
    <w:rsid w:val="6C3309F1"/>
    <w:rsid w:val="6C5171FD"/>
    <w:rsid w:val="6C672E31"/>
    <w:rsid w:val="6C8C1428"/>
    <w:rsid w:val="6C8E04D6"/>
    <w:rsid w:val="6C993F99"/>
    <w:rsid w:val="6CA2751B"/>
    <w:rsid w:val="6CB61EDC"/>
    <w:rsid w:val="6CBB26DD"/>
    <w:rsid w:val="6CBE2A6F"/>
    <w:rsid w:val="6CC12308"/>
    <w:rsid w:val="6CCD2831"/>
    <w:rsid w:val="6CF02768"/>
    <w:rsid w:val="6CF1468D"/>
    <w:rsid w:val="6D1839B1"/>
    <w:rsid w:val="6D432570"/>
    <w:rsid w:val="6D483E57"/>
    <w:rsid w:val="6D54452B"/>
    <w:rsid w:val="6D5C0837"/>
    <w:rsid w:val="6D6055A3"/>
    <w:rsid w:val="6DBE1290"/>
    <w:rsid w:val="6DC914C4"/>
    <w:rsid w:val="6DDC7F86"/>
    <w:rsid w:val="6E080FE0"/>
    <w:rsid w:val="6E0D26AB"/>
    <w:rsid w:val="6E2022F3"/>
    <w:rsid w:val="6E3B3401"/>
    <w:rsid w:val="6E3E10DC"/>
    <w:rsid w:val="6E69199B"/>
    <w:rsid w:val="6EBD577A"/>
    <w:rsid w:val="6EC14170"/>
    <w:rsid w:val="6EDE285D"/>
    <w:rsid w:val="6EE04014"/>
    <w:rsid w:val="6EE476C0"/>
    <w:rsid w:val="6EE558A8"/>
    <w:rsid w:val="6F167990"/>
    <w:rsid w:val="6F1C2241"/>
    <w:rsid w:val="6F2D3E96"/>
    <w:rsid w:val="6F477BDB"/>
    <w:rsid w:val="6F6656FD"/>
    <w:rsid w:val="6F713E95"/>
    <w:rsid w:val="6F7B76F7"/>
    <w:rsid w:val="6F83000E"/>
    <w:rsid w:val="6FC83DA4"/>
    <w:rsid w:val="6FFA5BA8"/>
    <w:rsid w:val="703B3BFC"/>
    <w:rsid w:val="70456902"/>
    <w:rsid w:val="704E6B13"/>
    <w:rsid w:val="705868EE"/>
    <w:rsid w:val="70984A9D"/>
    <w:rsid w:val="70A006F5"/>
    <w:rsid w:val="70B90292"/>
    <w:rsid w:val="70B97F01"/>
    <w:rsid w:val="70FD19B1"/>
    <w:rsid w:val="7142520F"/>
    <w:rsid w:val="714C61F5"/>
    <w:rsid w:val="715E244A"/>
    <w:rsid w:val="7177196F"/>
    <w:rsid w:val="71890319"/>
    <w:rsid w:val="718F77F7"/>
    <w:rsid w:val="71A8332A"/>
    <w:rsid w:val="71BF0E37"/>
    <w:rsid w:val="71CB1078"/>
    <w:rsid w:val="71F202C2"/>
    <w:rsid w:val="72A57793"/>
    <w:rsid w:val="72B56EEF"/>
    <w:rsid w:val="72D1391C"/>
    <w:rsid w:val="72DB254B"/>
    <w:rsid w:val="72DE1017"/>
    <w:rsid w:val="730F65B9"/>
    <w:rsid w:val="731E5A43"/>
    <w:rsid w:val="73445DCA"/>
    <w:rsid w:val="73566852"/>
    <w:rsid w:val="73797A10"/>
    <w:rsid w:val="738E76A4"/>
    <w:rsid w:val="73DF1C2D"/>
    <w:rsid w:val="73F50BCB"/>
    <w:rsid w:val="73FB161F"/>
    <w:rsid w:val="740E0FBA"/>
    <w:rsid w:val="7413358A"/>
    <w:rsid w:val="741E1946"/>
    <w:rsid w:val="743C4162"/>
    <w:rsid w:val="74433B93"/>
    <w:rsid w:val="744B00D6"/>
    <w:rsid w:val="746E42F6"/>
    <w:rsid w:val="74860E62"/>
    <w:rsid w:val="74880036"/>
    <w:rsid w:val="74963132"/>
    <w:rsid w:val="74B96A42"/>
    <w:rsid w:val="74C80246"/>
    <w:rsid w:val="74CD27B7"/>
    <w:rsid w:val="74D16F68"/>
    <w:rsid w:val="74D52EBA"/>
    <w:rsid w:val="74E124F8"/>
    <w:rsid w:val="750220D2"/>
    <w:rsid w:val="750D4773"/>
    <w:rsid w:val="750F1440"/>
    <w:rsid w:val="751E7E53"/>
    <w:rsid w:val="75263471"/>
    <w:rsid w:val="752E1C4C"/>
    <w:rsid w:val="7548473E"/>
    <w:rsid w:val="7557307C"/>
    <w:rsid w:val="756105B7"/>
    <w:rsid w:val="75666FB1"/>
    <w:rsid w:val="756675FA"/>
    <w:rsid w:val="757A6592"/>
    <w:rsid w:val="757E70E6"/>
    <w:rsid w:val="75A66CA4"/>
    <w:rsid w:val="75B27A3C"/>
    <w:rsid w:val="75C3677F"/>
    <w:rsid w:val="75D42472"/>
    <w:rsid w:val="75D50149"/>
    <w:rsid w:val="75D85802"/>
    <w:rsid w:val="75E609D5"/>
    <w:rsid w:val="75F071FE"/>
    <w:rsid w:val="75F25A92"/>
    <w:rsid w:val="75FE1174"/>
    <w:rsid w:val="76277A41"/>
    <w:rsid w:val="76353233"/>
    <w:rsid w:val="76392A92"/>
    <w:rsid w:val="763E7DAB"/>
    <w:rsid w:val="76437492"/>
    <w:rsid w:val="76617C75"/>
    <w:rsid w:val="767D2A6D"/>
    <w:rsid w:val="767E34F8"/>
    <w:rsid w:val="768C25BD"/>
    <w:rsid w:val="76DB1F5D"/>
    <w:rsid w:val="77033AF5"/>
    <w:rsid w:val="772D44B9"/>
    <w:rsid w:val="772D5858"/>
    <w:rsid w:val="77453DDC"/>
    <w:rsid w:val="776F0A56"/>
    <w:rsid w:val="77735A82"/>
    <w:rsid w:val="77784943"/>
    <w:rsid w:val="77787755"/>
    <w:rsid w:val="777C19DA"/>
    <w:rsid w:val="778A0D23"/>
    <w:rsid w:val="77980418"/>
    <w:rsid w:val="77A05274"/>
    <w:rsid w:val="77A23B52"/>
    <w:rsid w:val="77A808C3"/>
    <w:rsid w:val="77AF0451"/>
    <w:rsid w:val="77CA7BAA"/>
    <w:rsid w:val="77D26599"/>
    <w:rsid w:val="77DC041B"/>
    <w:rsid w:val="77E96BCE"/>
    <w:rsid w:val="77FA1893"/>
    <w:rsid w:val="7803707F"/>
    <w:rsid w:val="781864EA"/>
    <w:rsid w:val="781F6EAD"/>
    <w:rsid w:val="782D7D2B"/>
    <w:rsid w:val="783915FE"/>
    <w:rsid w:val="78537DC5"/>
    <w:rsid w:val="78575483"/>
    <w:rsid w:val="78705AFA"/>
    <w:rsid w:val="787A44E9"/>
    <w:rsid w:val="788B586B"/>
    <w:rsid w:val="78A63666"/>
    <w:rsid w:val="78C54FC9"/>
    <w:rsid w:val="78C91464"/>
    <w:rsid w:val="78D43C48"/>
    <w:rsid w:val="78E439FC"/>
    <w:rsid w:val="78EE6681"/>
    <w:rsid w:val="78FF6B3A"/>
    <w:rsid w:val="79100A4F"/>
    <w:rsid w:val="791453EC"/>
    <w:rsid w:val="792623CF"/>
    <w:rsid w:val="793877D8"/>
    <w:rsid w:val="796B589E"/>
    <w:rsid w:val="79884AE9"/>
    <w:rsid w:val="79C05315"/>
    <w:rsid w:val="79CD1180"/>
    <w:rsid w:val="79EE23A8"/>
    <w:rsid w:val="7A072E1B"/>
    <w:rsid w:val="7A0F12E6"/>
    <w:rsid w:val="7A25070C"/>
    <w:rsid w:val="7A3A33AB"/>
    <w:rsid w:val="7A443267"/>
    <w:rsid w:val="7A522DA5"/>
    <w:rsid w:val="7A5A7780"/>
    <w:rsid w:val="7A6C0BA8"/>
    <w:rsid w:val="7A6F2FA2"/>
    <w:rsid w:val="7A752EC9"/>
    <w:rsid w:val="7A824C3A"/>
    <w:rsid w:val="7A984112"/>
    <w:rsid w:val="7AC16DC2"/>
    <w:rsid w:val="7AF11F71"/>
    <w:rsid w:val="7AF12739"/>
    <w:rsid w:val="7AFA4E78"/>
    <w:rsid w:val="7AFE4C08"/>
    <w:rsid w:val="7B022868"/>
    <w:rsid w:val="7B1D37E9"/>
    <w:rsid w:val="7B3103E1"/>
    <w:rsid w:val="7B51571F"/>
    <w:rsid w:val="7B7E5459"/>
    <w:rsid w:val="7B8874D6"/>
    <w:rsid w:val="7BA27F9C"/>
    <w:rsid w:val="7BA40FFB"/>
    <w:rsid w:val="7BB8027E"/>
    <w:rsid w:val="7BC7231A"/>
    <w:rsid w:val="7BD7125A"/>
    <w:rsid w:val="7BEA7F06"/>
    <w:rsid w:val="7BEB15BF"/>
    <w:rsid w:val="7C1576DC"/>
    <w:rsid w:val="7C461BA7"/>
    <w:rsid w:val="7C593BEF"/>
    <w:rsid w:val="7C5A71C2"/>
    <w:rsid w:val="7C6273EB"/>
    <w:rsid w:val="7C6D5A3A"/>
    <w:rsid w:val="7C6F7A0C"/>
    <w:rsid w:val="7C730D95"/>
    <w:rsid w:val="7C811ABB"/>
    <w:rsid w:val="7C8D2C99"/>
    <w:rsid w:val="7C9C0220"/>
    <w:rsid w:val="7CE57617"/>
    <w:rsid w:val="7CE87AF5"/>
    <w:rsid w:val="7D0A7C90"/>
    <w:rsid w:val="7D151FAD"/>
    <w:rsid w:val="7D27198C"/>
    <w:rsid w:val="7D2C698E"/>
    <w:rsid w:val="7D431CAB"/>
    <w:rsid w:val="7D6E5376"/>
    <w:rsid w:val="7D9660B9"/>
    <w:rsid w:val="7D9E0355"/>
    <w:rsid w:val="7D9F45CF"/>
    <w:rsid w:val="7DC51FB6"/>
    <w:rsid w:val="7DE03C2C"/>
    <w:rsid w:val="7DFA0341"/>
    <w:rsid w:val="7DFF7FDA"/>
    <w:rsid w:val="7E3C48CF"/>
    <w:rsid w:val="7E411EF5"/>
    <w:rsid w:val="7E426C40"/>
    <w:rsid w:val="7E43770C"/>
    <w:rsid w:val="7E5346B8"/>
    <w:rsid w:val="7E6B6C8A"/>
    <w:rsid w:val="7E6B77EA"/>
    <w:rsid w:val="7E6C0F85"/>
    <w:rsid w:val="7E772B20"/>
    <w:rsid w:val="7E8C186F"/>
    <w:rsid w:val="7EAC6168"/>
    <w:rsid w:val="7EBD3B2B"/>
    <w:rsid w:val="7EC218D0"/>
    <w:rsid w:val="7EE34D80"/>
    <w:rsid w:val="7EE52193"/>
    <w:rsid w:val="7EEF34CE"/>
    <w:rsid w:val="7EF21537"/>
    <w:rsid w:val="7EF53B35"/>
    <w:rsid w:val="7EFC093A"/>
    <w:rsid w:val="7EFF2BDC"/>
    <w:rsid w:val="7F004C99"/>
    <w:rsid w:val="7F095CDC"/>
    <w:rsid w:val="7F354383"/>
    <w:rsid w:val="7F355FB5"/>
    <w:rsid w:val="7F423106"/>
    <w:rsid w:val="7F72403E"/>
    <w:rsid w:val="7F734F41"/>
    <w:rsid w:val="7F7B1610"/>
    <w:rsid w:val="7FA44F86"/>
    <w:rsid w:val="7FD37BEC"/>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60"/>
      <w:ind w:left="576" w:hanging="576"/>
      <w:outlineLvl w:val="1"/>
    </w:pPr>
    <w:rPr>
      <w:rFonts w:ascii="Times New Roman" w:hAnsi="Times New Roman" w:eastAsia="宋体" w:cs="Arial"/>
      <w:b/>
      <w:bCs/>
      <w:iCs/>
      <w:sz w:val="24"/>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sz w:val="24"/>
      <w:szCs w:val="26"/>
    </w:rPr>
  </w:style>
  <w:style w:type="paragraph" w:styleId="5">
    <w:name w:val="heading 4"/>
    <w:basedOn w:val="4"/>
    <w:next w:val="1"/>
    <w:link w:val="45"/>
    <w:qFormat/>
    <w:uiPriority w:val="0"/>
    <w:pPr>
      <w:keepNext/>
      <w:tabs>
        <w:tab w:val="left" w:pos="864"/>
        <w:tab w:val="clear" w:pos="720"/>
      </w:tabs>
      <w:spacing w:before="240" w:after="60"/>
      <w:ind w:left="864" w:hanging="864"/>
      <w:outlineLvl w:val="3"/>
    </w:pPr>
    <w:rPr>
      <w:sz w:val="28"/>
      <w:szCs w:val="28"/>
    </w:rPr>
  </w:style>
  <w:style w:type="paragraph" w:styleId="6">
    <w:name w:val="heading 5"/>
    <w:basedOn w:val="5"/>
    <w:next w:val="1"/>
    <w:qFormat/>
    <w:uiPriority w:val="0"/>
    <w:pPr>
      <w:tabs>
        <w:tab w:val="left" w:pos="1008"/>
        <w:tab w:val="clear" w:pos="864"/>
      </w:tabs>
      <w:spacing w:before="240" w:after="60"/>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283" w:hanging="283"/>
    </w:pPr>
  </w:style>
  <w:style w:type="paragraph" w:styleId="15">
    <w:name w:val="annotation subject"/>
    <w:basedOn w:val="16"/>
    <w:next w:val="16"/>
    <w:link w:val="59"/>
    <w:unhideWhenUsed/>
    <w:qFormat/>
    <w:uiPriority w:val="99"/>
    <w:rPr>
      <w:b/>
      <w:bCs/>
    </w:rPr>
  </w:style>
  <w:style w:type="paragraph" w:styleId="16">
    <w:name w:val="annotation text"/>
    <w:basedOn w:val="1"/>
    <w:link w:val="46"/>
    <w:unhideWhenUsed/>
    <w:qFormat/>
    <w:uiPriority w:val="0"/>
  </w:style>
  <w:style w:type="paragraph" w:styleId="17">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8">
    <w:name w:val="caption"/>
    <w:basedOn w:val="1"/>
    <w:next w:val="1"/>
    <w:link w:val="40"/>
    <w:qFormat/>
    <w:uiPriority w:val="0"/>
    <w:rPr>
      <w:b/>
      <w:bCs/>
    </w:rPr>
  </w:style>
  <w:style w:type="paragraph" w:styleId="19">
    <w:name w:val="List Bullet"/>
    <w:basedOn w:val="20"/>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20">
    <w:name w:val="Body Text"/>
    <w:basedOn w:val="1"/>
    <w:link w:val="103"/>
    <w:qFormat/>
    <w:uiPriority w:val="0"/>
    <w:pPr>
      <w:overflowPunct/>
      <w:autoSpaceDE/>
      <w:autoSpaceDN/>
      <w:adjustRightInd/>
      <w:textAlignment w:val="auto"/>
    </w:pPr>
    <w:rPr>
      <w:rFonts w:eastAsia="MS Mincho"/>
    </w:rPr>
  </w:style>
  <w:style w:type="paragraph" w:styleId="21">
    <w:name w:val="Document Map"/>
    <w:basedOn w:val="1"/>
    <w:semiHidden/>
    <w:qFormat/>
    <w:uiPriority w:val="0"/>
    <w:pPr>
      <w:shd w:val="clear" w:color="auto" w:fill="000080"/>
    </w:pPr>
    <w:rPr>
      <w:rFonts w:ascii="Tahoma" w:hAnsi="Tahoma" w:cs="Tahoma"/>
    </w:rPr>
  </w:style>
  <w:style w:type="paragraph" w:styleId="22">
    <w:name w:val="Body Text Indent"/>
    <w:basedOn w:val="1"/>
    <w:qFormat/>
    <w:uiPriority w:val="0"/>
    <w:pPr>
      <w:spacing w:after="120"/>
      <w:ind w:left="283"/>
    </w:pPr>
  </w:style>
  <w:style w:type="paragraph" w:styleId="23">
    <w:name w:val="Balloon Text"/>
    <w:basedOn w:val="1"/>
    <w:link w:val="39"/>
    <w:unhideWhenUsed/>
    <w:qFormat/>
    <w:uiPriority w:val="99"/>
    <w:pPr>
      <w:spacing w:after="0"/>
    </w:pPr>
    <w:rPr>
      <w:rFonts w:ascii="Tahoma" w:hAnsi="Tahoma" w:cs="Tahoma"/>
      <w:sz w:val="16"/>
      <w:szCs w:val="16"/>
    </w:rPr>
  </w:style>
  <w:style w:type="paragraph" w:styleId="24">
    <w:name w:val="footer"/>
    <w:basedOn w:val="1"/>
    <w:link w:val="60"/>
    <w:unhideWhenUsed/>
    <w:qFormat/>
    <w:uiPriority w:val="99"/>
    <w:pPr>
      <w:tabs>
        <w:tab w:val="center" w:pos="4513"/>
        <w:tab w:val="right" w:pos="9026"/>
      </w:tabs>
      <w:snapToGrid w:val="0"/>
    </w:pPr>
  </w:style>
  <w:style w:type="paragraph" w:styleId="25">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6">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7">
    <w:name w:val="footnote text"/>
    <w:basedOn w:val="1"/>
    <w:unhideWhenUsed/>
    <w:qFormat/>
    <w:uiPriority w:val="99"/>
    <w:pPr>
      <w:snapToGrid w:val="0"/>
      <w:jc w:val="left"/>
    </w:pPr>
    <w:rPr>
      <w:sz w:val="18"/>
    </w:rPr>
  </w:style>
  <w:style w:type="paragraph" w:styleId="28">
    <w:name w:val="List 5"/>
    <w:basedOn w:val="29"/>
    <w:qFormat/>
    <w:uiPriority w:val="0"/>
    <w:pPr>
      <w:ind w:left="1702"/>
    </w:pPr>
  </w:style>
  <w:style w:type="paragraph" w:styleId="29">
    <w:name w:val="List 4"/>
    <w:basedOn w:val="12"/>
    <w:qFormat/>
    <w:uiPriority w:val="0"/>
    <w:pPr>
      <w:ind w:left="1418"/>
    </w:pPr>
  </w:style>
  <w:style w:type="paragraph" w:styleId="30">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32">
    <w:name w:val="Strong"/>
    <w:basedOn w:val="31"/>
    <w:qFormat/>
    <w:uiPriority w:val="22"/>
    <w:rPr>
      <w:b/>
      <w:bCs/>
    </w:rPr>
  </w:style>
  <w:style w:type="character" w:styleId="33">
    <w:name w:val="FollowedHyperlink"/>
    <w:basedOn w:val="31"/>
    <w:qFormat/>
    <w:uiPriority w:val="0"/>
    <w:rPr>
      <w:color w:val="800080"/>
      <w:u w:val="single"/>
    </w:rPr>
  </w:style>
  <w:style w:type="character" w:styleId="34">
    <w:name w:val="Hyperlink"/>
    <w:basedOn w:val="31"/>
    <w:unhideWhenUsed/>
    <w:qFormat/>
    <w:uiPriority w:val="99"/>
    <w:rPr>
      <w:color w:val="0000FF"/>
      <w:u w:val="single"/>
    </w:rPr>
  </w:style>
  <w:style w:type="character" w:styleId="35">
    <w:name w:val="annotation reference"/>
    <w:basedOn w:val="31"/>
    <w:unhideWhenUsed/>
    <w:qFormat/>
    <w:uiPriority w:val="0"/>
    <w:rPr>
      <w:sz w:val="16"/>
      <w:szCs w:val="16"/>
    </w:rPr>
  </w:style>
  <w:style w:type="character" w:styleId="36">
    <w:name w:val="footnote reference"/>
    <w:basedOn w:val="31"/>
    <w:unhideWhenUsed/>
    <w:qFormat/>
    <w:uiPriority w:val="99"/>
    <w:rPr>
      <w:vertAlign w:val="superscript"/>
    </w:rPr>
  </w:style>
  <w:style w:type="table" w:styleId="38">
    <w:name w:val="Table Grid"/>
    <w:basedOn w:val="3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9">
    <w:name w:val="批注框文本 Char"/>
    <w:basedOn w:val="31"/>
    <w:link w:val="23"/>
    <w:semiHidden/>
    <w:qFormat/>
    <w:uiPriority w:val="99"/>
    <w:rPr>
      <w:rFonts w:ascii="Tahoma" w:hAnsi="Tahoma" w:eastAsia="Times New Roman" w:cs="Tahoma"/>
      <w:sz w:val="16"/>
      <w:szCs w:val="16"/>
      <w:lang w:val="en-GB"/>
    </w:rPr>
  </w:style>
  <w:style w:type="character" w:customStyle="1" w:styleId="40">
    <w:name w:val="题注 Char"/>
    <w:basedOn w:val="31"/>
    <w:link w:val="18"/>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6"/>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4">
    <w:name w:val="页眉 Char"/>
    <w:basedOn w:val="31"/>
    <w:link w:val="25"/>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15"/>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4"/>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68"/>
    <w:link w:val="66"/>
    <w:qFormat/>
    <w:uiPriority w:val="0"/>
    <w:pPr>
      <w:keepNext/>
      <w:keepLines/>
      <w:spacing w:after="0"/>
      <w:jc w:val="center"/>
    </w:pPr>
    <w:rPr>
      <w:rFonts w:ascii="Arial" w:hAnsi="Arial"/>
      <w:b/>
      <w:sz w:val="18"/>
      <w:lang w:eastAsia="ja-JP"/>
    </w:rPr>
  </w:style>
  <w:style w:type="paragraph" w:customStyle="1" w:styleId="68">
    <w:name w:val="TAC"/>
    <w:basedOn w:val="51"/>
    <w:link w:val="78"/>
    <w:qFormat/>
    <w:uiPriority w:val="0"/>
    <w:pPr>
      <w:jc w:val="center"/>
    </w:pPr>
  </w:style>
  <w:style w:type="character" w:customStyle="1" w:styleId="69">
    <w:name w:val="msoins"/>
    <w:basedOn w:val="31"/>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1"/>
    <w:qFormat/>
    <w:uiPriority w:val="0"/>
    <w:rPr>
      <w:lang w:val="en-GB" w:eastAsia="en-US" w:bidi="ar-SA"/>
    </w:rPr>
  </w:style>
  <w:style w:type="character" w:customStyle="1" w:styleId="75">
    <w:name w:val="B1 Char"/>
    <w:basedOn w:val="31"/>
    <w:qFormat/>
    <w:uiPriority w:val="0"/>
    <w:rPr>
      <w:rFonts w:ascii="Times New Roman" w:hAnsi="Times New Roman"/>
      <w:lang w:val="en-GB" w:eastAsia="en-US"/>
    </w:rPr>
  </w:style>
  <w:style w:type="character" w:customStyle="1" w:styleId="76">
    <w:name w:val="PL Char"/>
    <w:basedOn w:val="31"/>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20"/>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10">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11">
    <w:name w:val="列出段落6"/>
    <w:basedOn w:val="1"/>
    <w:qFormat/>
    <w:uiPriority w:val="34"/>
    <w:pPr>
      <w:ind w:left="840" w:leftChars="400"/>
    </w:pPr>
  </w:style>
  <w:style w:type="paragraph" w:customStyle="1" w:styleId="112">
    <w:name w:val="列出段落7"/>
    <w:basedOn w:val="1"/>
    <w:unhideWhenUsed/>
    <w:qFormat/>
    <w:uiPriority w:val="99"/>
    <w:pPr>
      <w:ind w:firstLine="420" w:firstLineChars="200"/>
    </w:pPr>
  </w:style>
  <w:style w:type="paragraph" w:styleId="113">
    <w:name w:val="List Paragraph"/>
    <w:basedOn w:val="1"/>
    <w:link w:val="115"/>
    <w:qFormat/>
    <w:uiPriority w:val="34"/>
    <w:pPr>
      <w:ind w:firstLine="420" w:firstLineChars="200"/>
    </w:pPr>
  </w:style>
  <w:style w:type="paragraph" w:customStyle="1" w:styleId="114">
    <w:name w:val="修订2"/>
    <w:hidden/>
    <w:semiHidden/>
    <w:qFormat/>
    <w:uiPriority w:val="99"/>
    <w:rPr>
      <w:rFonts w:ascii="Times New Roman" w:hAnsi="Times New Roman" w:eastAsia="Times New Roman" w:cs="Times New Roman"/>
      <w:lang w:val="en-GB" w:eastAsia="en-US" w:bidi="ar-SA"/>
    </w:rPr>
  </w:style>
  <w:style w:type="character" w:customStyle="1" w:styleId="115">
    <w:name w:val="列出段落 Char1"/>
    <w:link w:val="113"/>
    <w:qFormat/>
    <w:uiPriority w:val="34"/>
    <w:rPr>
      <w:rFonts w:eastAsia="Times New Roman"/>
      <w:lang w:val="en-GB" w:eastAsia="en-US"/>
    </w:rPr>
  </w:style>
  <w:style w:type="character" w:customStyle="1" w:styleId="116">
    <w:name w:val="TAH Car"/>
    <w:qFormat/>
    <w:uiPriority w:val="0"/>
    <w:rPr>
      <w:rFonts w:ascii="Arial" w:hAnsi="Arial"/>
      <w:b/>
      <w:sz w:val="18"/>
      <w:lang w:val="en-GB" w:eastAsia="en-US"/>
    </w:rPr>
  </w:style>
  <w:style w:type="character" w:customStyle="1" w:styleId="117">
    <w:name w:val="B1 Zchn"/>
    <w:qFormat/>
    <w:uiPriority w:val="0"/>
    <w:rPr>
      <w:lang w:eastAsia="en-US"/>
    </w:rPr>
  </w:style>
  <w:style w:type="paragraph" w:customStyle="1" w:styleId="118">
    <w:name w:val="B5"/>
    <w:basedOn w:val="28"/>
    <w:qFormat/>
    <w:uiPriority w:val="0"/>
  </w:style>
  <w:style w:type="paragraph" w:customStyle="1" w:styleId="119">
    <w:name w:val="B4"/>
    <w:basedOn w:val="1"/>
    <w:qFormat/>
    <w:uiPriority w:val="0"/>
    <w:pPr>
      <w:ind w:left="1418" w:hanging="284"/>
    </w:pPr>
  </w:style>
  <w:style w:type="paragraph" w:customStyle="1" w:styleId="120">
    <w:name w:val="x_msonormal"/>
    <w:basedOn w:val="1"/>
    <w:qFormat/>
    <w:uiPriority w:val="0"/>
    <w:rPr>
      <w:rFonts w:ascii="Calibri" w:hAnsi="Calibri" w:eastAsia="Calibri" w:cs="Calibri"/>
      <w:sz w:val="22"/>
      <w:szCs w:val="22"/>
    </w:rPr>
  </w:style>
  <w:style w:type="paragraph" w:customStyle="1" w:styleId="121">
    <w:name w:val="TAN"/>
    <w:basedOn w:val="51"/>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0</TotalTime>
  <ScaleCrop>false</ScaleCrop>
  <LinksUpToDate>false</LinksUpToDate>
  <CharactersWithSpaces>14152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2020-04-11T04:54:28Z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